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C0BC" w14:textId="77777777" w:rsidR="00244984" w:rsidRPr="008964EB" w:rsidRDefault="00244984" w:rsidP="009973C3">
      <w:pPr>
        <w:pStyle w:val="Title"/>
        <w:rPr>
          <w:rFonts w:eastAsia="Times New Roman"/>
          <w:lang w:eastAsia="en-GB"/>
        </w:rPr>
      </w:pPr>
      <w:r w:rsidRPr="008964EB">
        <w:rPr>
          <w:rFonts w:eastAsia="Times New Roman"/>
          <w:lang w:eastAsia="en-GB"/>
        </w:rPr>
        <w:t>A Home at University</w:t>
      </w:r>
    </w:p>
    <w:p w14:paraId="4DFEE4DB" w14:textId="77777777" w:rsidR="00244984" w:rsidRPr="00987F72" w:rsidRDefault="00244984" w:rsidP="00244984">
      <w:pPr>
        <w:spacing w:line="276" w:lineRule="auto"/>
        <w:rPr>
          <w:rFonts w:eastAsia="Times New Roman" w:cs="Calibri"/>
          <w:color w:val="000000"/>
          <w:szCs w:val="22"/>
          <w:lang w:eastAsia="en-GB"/>
        </w:rPr>
      </w:pPr>
    </w:p>
    <w:p w14:paraId="104A4F50" w14:textId="09AD179E" w:rsidR="00244984" w:rsidRPr="00987F72" w:rsidRDefault="00244984" w:rsidP="00244984">
      <w:pPr>
        <w:spacing w:line="276" w:lineRule="auto"/>
        <w:rPr>
          <w:rFonts w:eastAsia="Times New Roman" w:cs="Calibri"/>
          <w:color w:val="000000"/>
          <w:sz w:val="20"/>
          <w:szCs w:val="20"/>
          <w:lang w:eastAsia="en-GB"/>
        </w:rPr>
      </w:pPr>
      <w:r w:rsidRPr="00987F72">
        <w:rPr>
          <w:rFonts w:eastAsia="Times New Roman" w:cs="Calibri"/>
          <w:color w:val="000000"/>
          <w:sz w:val="20"/>
          <w:szCs w:val="20"/>
          <w:lang w:eastAsia="en-GB"/>
        </w:rPr>
        <w:t>Having somewhere of your own to call home matters</w:t>
      </w:r>
      <w:r w:rsidR="003322C9">
        <w:rPr>
          <w:rFonts w:eastAsia="Times New Roman" w:cs="Calibri"/>
          <w:color w:val="000000"/>
          <w:sz w:val="20"/>
          <w:szCs w:val="20"/>
          <w:lang w:eastAsia="en-GB"/>
        </w:rPr>
        <w:t>. W</w:t>
      </w:r>
      <w:r w:rsidRPr="00987F72">
        <w:rPr>
          <w:rFonts w:eastAsia="Times New Roman" w:cs="Calibri"/>
          <w:color w:val="000000"/>
          <w:sz w:val="20"/>
          <w:szCs w:val="20"/>
          <w:lang w:eastAsia="en-GB"/>
        </w:rPr>
        <w:t xml:space="preserve">ith a </w:t>
      </w:r>
      <w:r w:rsidR="00692919">
        <w:rPr>
          <w:rFonts w:eastAsia="Times New Roman" w:cs="Calibri"/>
          <w:color w:val="000000"/>
          <w:sz w:val="20"/>
          <w:szCs w:val="20"/>
          <w:lang w:eastAsia="en-GB"/>
        </w:rPr>
        <w:t xml:space="preserve">stable </w:t>
      </w:r>
      <w:r w:rsidRPr="00987F72">
        <w:rPr>
          <w:rFonts w:eastAsia="Times New Roman" w:cs="Calibri"/>
          <w:color w:val="000000"/>
          <w:sz w:val="20"/>
          <w:szCs w:val="20"/>
          <w:lang w:eastAsia="en-GB"/>
        </w:rPr>
        <w:t>home at university taken care of, care experienced</w:t>
      </w:r>
      <w:r w:rsidR="003322C9">
        <w:rPr>
          <w:rFonts w:eastAsia="Times New Roman" w:cs="Calibri"/>
          <w:color w:val="000000"/>
          <w:sz w:val="20"/>
          <w:szCs w:val="20"/>
          <w:lang w:eastAsia="en-GB"/>
        </w:rPr>
        <w:t xml:space="preserve"> and estranged</w:t>
      </w:r>
      <w:r w:rsidRPr="00987F72">
        <w:rPr>
          <w:rFonts w:eastAsia="Times New Roman" w:cs="Calibri"/>
          <w:color w:val="000000"/>
          <w:sz w:val="20"/>
          <w:szCs w:val="20"/>
          <w:lang w:eastAsia="en-GB"/>
        </w:rPr>
        <w:t xml:space="preserve"> young people </w:t>
      </w:r>
      <w:r w:rsidR="00BF3D20">
        <w:rPr>
          <w:rFonts w:eastAsia="Times New Roman" w:cs="Calibri"/>
          <w:color w:val="000000"/>
          <w:sz w:val="20"/>
          <w:szCs w:val="20"/>
          <w:lang w:eastAsia="en-GB"/>
        </w:rPr>
        <w:t xml:space="preserve">(CEES) </w:t>
      </w:r>
      <w:r w:rsidRPr="00987F72">
        <w:rPr>
          <w:rFonts w:eastAsia="Times New Roman" w:cs="Calibri"/>
          <w:color w:val="000000"/>
          <w:sz w:val="20"/>
          <w:szCs w:val="20"/>
          <w:lang w:eastAsia="en-GB"/>
        </w:rPr>
        <w:t xml:space="preserve">can focus on their studies and make the most of the full university experience. </w:t>
      </w:r>
      <w:r w:rsidR="003322C9">
        <w:rPr>
          <w:rFonts w:eastAsia="Times New Roman" w:cs="Calibri"/>
          <w:color w:val="000000"/>
          <w:sz w:val="20"/>
          <w:szCs w:val="20"/>
          <w:lang w:eastAsia="en-GB"/>
        </w:rPr>
        <w:t>Since 2012</w:t>
      </w:r>
      <w:r w:rsidR="00F134D1">
        <w:rPr>
          <w:rFonts w:eastAsia="Times New Roman" w:cs="Calibri"/>
          <w:color w:val="000000"/>
          <w:sz w:val="20"/>
          <w:szCs w:val="20"/>
          <w:lang w:eastAsia="en-GB"/>
        </w:rPr>
        <w:t>,</w:t>
      </w:r>
      <w:r w:rsidR="003322C9">
        <w:rPr>
          <w:rFonts w:eastAsia="Times New Roman" w:cs="Calibri"/>
          <w:color w:val="000000"/>
          <w:sz w:val="20"/>
          <w:szCs w:val="20"/>
          <w:lang w:eastAsia="en-GB"/>
        </w:rPr>
        <w:t xml:space="preserve"> the Unite Foundation has </w:t>
      </w:r>
      <w:r w:rsidRPr="00987F72">
        <w:rPr>
          <w:rFonts w:eastAsia="Times New Roman" w:cs="Calibri"/>
          <w:color w:val="000000"/>
          <w:sz w:val="20"/>
          <w:szCs w:val="20"/>
          <w:lang w:eastAsia="en-GB"/>
        </w:rPr>
        <w:t xml:space="preserve">been providing this through a unique scholarship scheme that covers students’ rent and bills for up to 3 years. </w:t>
      </w:r>
    </w:p>
    <w:p w14:paraId="0DD163C4" w14:textId="77777777" w:rsidR="00244984" w:rsidRPr="00987F72" w:rsidRDefault="00244984" w:rsidP="00244984">
      <w:pPr>
        <w:spacing w:line="276" w:lineRule="auto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5D94DF86" w14:textId="5C3B5DEF" w:rsidR="003322C9" w:rsidRDefault="003322C9" w:rsidP="003322C9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The data</w:t>
      </w:r>
    </w:p>
    <w:p w14:paraId="56101588" w14:textId="77777777" w:rsidR="003322C9" w:rsidRPr="003322C9" w:rsidRDefault="003322C9" w:rsidP="003322C9"/>
    <w:p w14:paraId="57859A44" w14:textId="34A54E19" w:rsidR="003322C9" w:rsidRDefault="003322C9" w:rsidP="00244984">
      <w:pPr>
        <w:spacing w:line="276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  <w:r>
        <w:rPr>
          <w:rFonts w:cs="Arial"/>
          <w:color w:val="000000" w:themeColor="text1"/>
          <w:sz w:val="20"/>
          <w:szCs w:val="20"/>
          <w:shd w:val="clear" w:color="auto" w:fill="FFFFFF"/>
        </w:rPr>
        <w:t>Data on care experienced and estranged students is still in its infancy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W</w:t>
      </w:r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hilst there </w:t>
      </w:r>
      <w:proofErr w:type="gramStart"/>
      <w:r>
        <w:rPr>
          <w:rFonts w:cs="Arial"/>
          <w:color w:val="000000" w:themeColor="text1"/>
          <w:sz w:val="20"/>
          <w:szCs w:val="20"/>
          <w:shd w:val="clear" w:color="auto" w:fill="FFFFFF"/>
        </w:rPr>
        <w:t>is</w:t>
      </w:r>
      <w:proofErr w:type="gramEnd"/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lots more we’d like to know, the data we do have paints a stark picture of under-representation and poorer outcomes. </w:t>
      </w:r>
    </w:p>
    <w:p w14:paraId="6BF72CDB" w14:textId="16C7363B" w:rsidR="003322C9" w:rsidRDefault="003322C9" w:rsidP="0FCB149A">
      <w:pPr>
        <w:pStyle w:val="ListParagraph"/>
        <w:rPr>
          <w:rFonts w:cs="Calibri"/>
          <w:color w:val="000000"/>
        </w:rPr>
      </w:pPr>
      <w:r>
        <w:rPr>
          <w:rFonts w:cs="Calibri"/>
          <w:color w:val="000000"/>
        </w:rPr>
        <w:t>A</w:t>
      </w:r>
      <w:r w:rsidRPr="003322C9">
        <w:rPr>
          <w:rFonts w:cs="Calibri"/>
          <w:color w:val="000000"/>
        </w:rPr>
        <w:t>t age 19, only 1</w:t>
      </w:r>
      <w:r w:rsidR="4E688D2C" w:rsidRPr="003322C9">
        <w:rPr>
          <w:rFonts w:cs="Calibri"/>
          <w:color w:val="000000"/>
        </w:rPr>
        <w:t>3</w:t>
      </w:r>
      <w:r w:rsidRPr="003322C9">
        <w:rPr>
          <w:rFonts w:cs="Calibri"/>
          <w:color w:val="000000"/>
        </w:rPr>
        <w:t xml:space="preserve">% of </w:t>
      </w:r>
      <w:r w:rsidR="68196170" w:rsidRPr="003322C9">
        <w:rPr>
          <w:rFonts w:cs="Calibri"/>
          <w:color w:val="000000"/>
        </w:rPr>
        <w:t xml:space="preserve">statutory </w:t>
      </w:r>
      <w:r w:rsidRPr="003322C9">
        <w:rPr>
          <w:rFonts w:cs="Calibri"/>
          <w:color w:val="000000"/>
        </w:rPr>
        <w:t xml:space="preserve">care </w:t>
      </w:r>
      <w:r w:rsidR="4730C51C" w:rsidRPr="003322C9">
        <w:rPr>
          <w:rFonts w:cs="Calibri"/>
          <w:color w:val="000000"/>
        </w:rPr>
        <w:t xml:space="preserve">leavers </w:t>
      </w:r>
      <w:r w:rsidRPr="003322C9">
        <w:rPr>
          <w:rFonts w:cs="Calibri"/>
          <w:color w:val="000000"/>
        </w:rPr>
        <w:t>are in university, compared with 4</w:t>
      </w:r>
      <w:r w:rsidR="00FF7FBE">
        <w:rPr>
          <w:rFonts w:cs="Calibri"/>
          <w:color w:val="000000"/>
        </w:rPr>
        <w:t>6</w:t>
      </w:r>
      <w:r w:rsidRPr="003322C9">
        <w:rPr>
          <w:rFonts w:cs="Calibri"/>
          <w:color w:val="000000"/>
        </w:rPr>
        <w:t>% of the wider population</w:t>
      </w:r>
      <w:r>
        <w:rPr>
          <w:rStyle w:val="FootnoteReference"/>
          <w:rFonts w:cs="Calibri"/>
          <w:color w:val="000000"/>
        </w:rPr>
        <w:footnoteReference w:id="1"/>
      </w:r>
      <w:r w:rsidR="00D44B1D">
        <w:rPr>
          <w:rFonts w:cs="Calibri"/>
          <w:color w:val="000000"/>
        </w:rPr>
        <w:t xml:space="preserve">. </w:t>
      </w:r>
    </w:p>
    <w:p w14:paraId="6C8626A4" w14:textId="216E2D00" w:rsidR="003322C9" w:rsidRDefault="003322C9" w:rsidP="003322C9">
      <w:pPr>
        <w:pStyle w:val="ListParagraph"/>
        <w:numPr>
          <w:ilvl w:val="0"/>
          <w:numId w:val="6"/>
        </w:numPr>
        <w:rPr>
          <w:rFonts w:cs="Calibri"/>
          <w:color w:val="000000"/>
        </w:rPr>
      </w:pPr>
      <w:r w:rsidRPr="003322C9">
        <w:rPr>
          <w:rFonts w:cs="Calibri"/>
          <w:color w:val="000000"/>
        </w:rPr>
        <w:t>1</w:t>
      </w:r>
      <w:r w:rsidR="00452C74">
        <w:rPr>
          <w:rFonts w:cs="Calibri"/>
          <w:color w:val="000000"/>
        </w:rPr>
        <w:t>8</w:t>
      </w:r>
      <w:r w:rsidRPr="003322C9">
        <w:rPr>
          <w:rFonts w:cs="Calibri"/>
          <w:color w:val="000000"/>
        </w:rPr>
        <w:t xml:space="preserve">% drop out within the first year, compared to 10% of </w:t>
      </w:r>
      <w:proofErr w:type="spellStart"/>
      <w:r w:rsidRPr="003322C9">
        <w:rPr>
          <w:rFonts w:cs="Calibri"/>
          <w:color w:val="000000"/>
        </w:rPr>
        <w:t>non care</w:t>
      </w:r>
      <w:proofErr w:type="spellEnd"/>
      <w:r w:rsidRPr="003322C9">
        <w:rPr>
          <w:rFonts w:cs="Calibri"/>
          <w:color w:val="000000"/>
        </w:rPr>
        <w:t xml:space="preserve"> experienced students</w:t>
      </w:r>
      <w:r w:rsidR="00452C74">
        <w:rPr>
          <w:rStyle w:val="FootnoteReference"/>
          <w:rFonts w:cs="Calibri"/>
          <w:color w:val="000000"/>
        </w:rPr>
        <w:footnoteReference w:id="2"/>
      </w:r>
      <w:r w:rsidR="00452C74">
        <w:rPr>
          <w:rFonts w:cs="Calibri"/>
          <w:color w:val="000000"/>
        </w:rPr>
        <w:t>.</w:t>
      </w:r>
    </w:p>
    <w:p w14:paraId="4D84AB89" w14:textId="5DCF2286" w:rsidR="003322C9" w:rsidRPr="003322C9" w:rsidRDefault="003322C9" w:rsidP="003322C9">
      <w:pPr>
        <w:pStyle w:val="ListParagraph"/>
        <w:numPr>
          <w:ilvl w:val="0"/>
          <w:numId w:val="6"/>
        </w:numPr>
        <w:rPr>
          <w:rFonts w:cs="Calibri"/>
          <w:color w:val="000000"/>
        </w:rPr>
      </w:pPr>
      <w:r w:rsidRPr="003322C9">
        <w:t xml:space="preserve">Care experienced students get lower degree classifications: </w:t>
      </w:r>
      <w:r>
        <w:t>6</w:t>
      </w:r>
      <w:r w:rsidR="00452C74">
        <w:t>3.2</w:t>
      </w:r>
      <w:r>
        <w:t xml:space="preserve">% </w:t>
      </w:r>
      <w:r w:rsidRPr="003322C9">
        <w:t xml:space="preserve">achieve a first or 2.1, compared to </w:t>
      </w:r>
      <w:r w:rsidR="00452C74">
        <w:t>76.6%</w:t>
      </w:r>
      <w:r>
        <w:t xml:space="preserve"> </w:t>
      </w:r>
      <w:r w:rsidRPr="003322C9">
        <w:t xml:space="preserve">of </w:t>
      </w:r>
      <w:proofErr w:type="spellStart"/>
      <w:proofErr w:type="gramStart"/>
      <w:r w:rsidRPr="003322C9">
        <w:t>non</w:t>
      </w:r>
      <w:r>
        <w:t xml:space="preserve"> care</w:t>
      </w:r>
      <w:proofErr w:type="spellEnd"/>
      <w:proofErr w:type="gramEnd"/>
      <w:r>
        <w:t>-</w:t>
      </w:r>
      <w:r w:rsidRPr="003322C9">
        <w:t>experienced students</w:t>
      </w:r>
      <w:r>
        <w:rPr>
          <w:rStyle w:val="FootnoteReference"/>
        </w:rPr>
        <w:footnoteReference w:id="3"/>
      </w:r>
      <w:r w:rsidR="00781DBC">
        <w:t>.</w:t>
      </w:r>
    </w:p>
    <w:p w14:paraId="4AE9D17A" w14:textId="0B70C436" w:rsidR="00B379A3" w:rsidRDefault="003D7C5E" w:rsidP="00B379A3">
      <w:pPr>
        <w:spacing w:line="276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  <w:r>
        <w:rPr>
          <w:rFonts w:cs="Arial"/>
          <w:color w:val="000000" w:themeColor="text1"/>
          <w:sz w:val="20"/>
          <w:szCs w:val="20"/>
          <w:shd w:val="clear" w:color="auto" w:fill="FFFFFF"/>
        </w:rPr>
        <w:t>Data on estranged students is even more limited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,</w:t>
      </w:r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as this isn’t collated by HESA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,</w:t>
      </w:r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and therefore </w:t>
      </w:r>
      <w:r w:rsidR="005066FA">
        <w:rPr>
          <w:rFonts w:cs="Arial"/>
          <w:color w:val="000000" w:themeColor="text1"/>
          <w:sz w:val="20"/>
          <w:szCs w:val="20"/>
          <w:shd w:val="clear" w:color="auto" w:fill="FFFFFF"/>
        </w:rPr>
        <w:t>we know very little about this group of students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. W</w:t>
      </w:r>
      <w:r w:rsidR="005066FA">
        <w:rPr>
          <w:rFonts w:cs="Arial"/>
          <w:color w:val="000000" w:themeColor="text1"/>
          <w:sz w:val="20"/>
          <w:szCs w:val="20"/>
          <w:shd w:val="clear" w:color="auto" w:fill="FFFFFF"/>
        </w:rPr>
        <w:t>e do know they share similar characteristics to care experienced students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,</w:t>
      </w:r>
      <w:r w:rsidR="005066FA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studying without family support. </w:t>
      </w:r>
    </w:p>
    <w:p w14:paraId="3E18D3EC" w14:textId="77777777" w:rsidR="003D7C5E" w:rsidRDefault="003D7C5E" w:rsidP="00B379A3">
      <w:pPr>
        <w:spacing w:line="276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</w:p>
    <w:p w14:paraId="26631B96" w14:textId="3EF84FEE" w:rsidR="003D7C5E" w:rsidRDefault="003D7C5E" w:rsidP="00B379A3">
      <w:pPr>
        <w:spacing w:line="276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  <w:r>
        <w:rPr>
          <w:rFonts w:cs="Arial"/>
          <w:color w:val="000000" w:themeColor="text1"/>
          <w:sz w:val="20"/>
          <w:szCs w:val="20"/>
          <w:shd w:val="clear" w:color="auto" w:fill="FFFFFF"/>
        </w:rPr>
        <w:t>More broadly</w:t>
      </w:r>
      <w:r w:rsidR="00F134D1">
        <w:rPr>
          <w:rFonts w:cs="Arial"/>
          <w:color w:val="000000" w:themeColor="text1"/>
          <w:sz w:val="20"/>
          <w:szCs w:val="20"/>
          <w:shd w:val="clear" w:color="auto" w:fill="FFFFFF"/>
        </w:rPr>
        <w:t>,</w:t>
      </w:r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data that supports the educational disadvantages of care experienced young people include: </w:t>
      </w:r>
    </w:p>
    <w:p w14:paraId="264160DC" w14:textId="6ACBB8AC" w:rsidR="003878F4" w:rsidRDefault="003878F4" w:rsidP="003D7C5E">
      <w:pPr>
        <w:pStyle w:val="ListParagraph"/>
        <w:numPr>
          <w:ilvl w:val="0"/>
          <w:numId w:val="7"/>
        </w:numPr>
      </w:pPr>
      <w:r w:rsidRPr="00D44B1D">
        <w:rPr>
          <w:b/>
          <w:bCs/>
        </w:rPr>
        <w:t>Social Market Foundation</w:t>
      </w:r>
      <w:r>
        <w:t xml:space="preserve"> published </w:t>
      </w:r>
      <w:hyperlink r:id="rId11" w:history="1">
        <w:r w:rsidRPr="003E2761">
          <w:rPr>
            <w:rStyle w:val="Hyperlink"/>
          </w:rPr>
          <w:t>‘Care and Learning in Higher Education</w:t>
        </w:r>
        <w:r w:rsidR="003E2761" w:rsidRPr="003E2761">
          <w:rPr>
            <w:rStyle w:val="Hyperlink"/>
          </w:rPr>
          <w:t>’</w:t>
        </w:r>
      </w:hyperlink>
      <w:r w:rsidR="003E2761">
        <w:t>:</w:t>
      </w:r>
      <w:r>
        <w:t xml:space="preserve"> </w:t>
      </w:r>
    </w:p>
    <w:p w14:paraId="77158A39" w14:textId="10C451BB" w:rsidR="003878F4" w:rsidRDefault="003878F4" w:rsidP="003878F4">
      <w:pPr>
        <w:pStyle w:val="ListParagraph"/>
        <w:numPr>
          <w:ilvl w:val="1"/>
          <w:numId w:val="7"/>
        </w:numPr>
      </w:pPr>
      <w:r w:rsidRPr="003878F4">
        <w:t>In 2022/23, 9% of children who were in care during the year of their GCSEs achieved “good passes” (grade 5 or above) in English and Maths. For the broader category of anybody that had been a child in need in the past six years, the proportion was 17%. Across the entire pupil population, the proportion was 45%.</w:t>
      </w:r>
    </w:p>
    <w:p w14:paraId="0DFAC32F" w14:textId="797ACCF3" w:rsidR="003878F4" w:rsidRDefault="003878F4" w:rsidP="003878F4">
      <w:pPr>
        <w:pStyle w:val="ListParagraph"/>
        <w:numPr>
          <w:ilvl w:val="1"/>
          <w:numId w:val="7"/>
        </w:numPr>
      </w:pPr>
      <w:r>
        <w:t xml:space="preserve">In </w:t>
      </w:r>
      <w:r w:rsidRPr="003878F4">
        <w:t>21/22, only 2% of care leavers were admitted to the most selective ‘high tariff’ universities, compared to 14% of non-care leavers.</w:t>
      </w:r>
    </w:p>
    <w:p w14:paraId="1A5AE692" w14:textId="571F3E31" w:rsidR="003D7C5E" w:rsidRDefault="003D7C5E" w:rsidP="003D7C5E">
      <w:pPr>
        <w:pStyle w:val="ListParagraph"/>
        <w:numPr>
          <w:ilvl w:val="0"/>
          <w:numId w:val="7"/>
        </w:numPr>
      </w:pPr>
      <w:r w:rsidRPr="00D44B1D">
        <w:rPr>
          <w:b/>
          <w:bCs/>
        </w:rPr>
        <w:t>TASO and the Rees Centre</w:t>
      </w:r>
      <w:r w:rsidRPr="003D7C5E">
        <w:t xml:space="preserve"> examin</w:t>
      </w:r>
      <w:r>
        <w:t>ed</w:t>
      </w:r>
      <w:r w:rsidRPr="003D7C5E">
        <w:t xml:space="preserve"> </w:t>
      </w:r>
      <w:r w:rsidR="003E2761">
        <w:t>‘</w:t>
      </w:r>
      <w:hyperlink r:id="rId12" w:history="1">
        <w:r w:rsidR="003E2761" w:rsidRPr="003E2761">
          <w:rPr>
            <w:rStyle w:val="Hyperlink"/>
          </w:rPr>
          <w:t>Pathways into and through higher education for young people with experience of children’s social care’</w:t>
        </w:r>
      </w:hyperlink>
      <w:r w:rsidR="003E2761">
        <w:t xml:space="preserve">. </w:t>
      </w:r>
      <w:r>
        <w:t xml:space="preserve">Findings include: </w:t>
      </w:r>
    </w:p>
    <w:p w14:paraId="35D5192E" w14:textId="66B073E4" w:rsidR="003D7C5E" w:rsidRDefault="003D7C5E" w:rsidP="003D7C5E">
      <w:pPr>
        <w:pStyle w:val="ListParagraph"/>
        <w:numPr>
          <w:ilvl w:val="1"/>
          <w:numId w:val="7"/>
        </w:numPr>
      </w:pPr>
      <w:r>
        <w:t>C</w:t>
      </w:r>
      <w:r w:rsidRPr="003D7C5E">
        <w:t xml:space="preserve">are leavers – and those who have ever been in care – are four times less likely to enter higher education by age </w:t>
      </w:r>
      <w:proofErr w:type="gramStart"/>
      <w:r w:rsidRPr="003D7C5E">
        <w:t>22, and</w:t>
      </w:r>
      <w:proofErr w:type="gramEnd"/>
      <w:r w:rsidRPr="003D7C5E">
        <w:t xml:space="preserve"> are also more than twice as likely to drop out compared with their peers in the general population.</w:t>
      </w:r>
    </w:p>
    <w:p w14:paraId="2A905B19" w14:textId="0A91751D" w:rsidR="003D7C5E" w:rsidRDefault="003D7C5E" w:rsidP="003D7C5E">
      <w:pPr>
        <w:pStyle w:val="ListParagraph"/>
        <w:numPr>
          <w:ilvl w:val="1"/>
          <w:numId w:val="7"/>
        </w:numPr>
      </w:pPr>
      <w:r>
        <w:t>Y</w:t>
      </w:r>
      <w:r w:rsidRPr="003D7C5E">
        <w:t>oung people aged 19 to 21 in England with experience of the care system are three and a half times more likely to be not in education, employment or training, compared with all other children.</w:t>
      </w:r>
    </w:p>
    <w:p w14:paraId="718E49EA" w14:textId="627EB891" w:rsidR="003D7C5E" w:rsidRDefault="003D7C5E" w:rsidP="003D7C5E">
      <w:pPr>
        <w:pStyle w:val="ListParagraph"/>
        <w:numPr>
          <w:ilvl w:val="1"/>
          <w:numId w:val="7"/>
        </w:numPr>
      </w:pPr>
      <w:r w:rsidRPr="003D7C5E">
        <w:lastRenderedPageBreak/>
        <w:t>People with experience of children’s social care are more likely to take vocational routes to higher education rather than following the ‘traditional pathway’ most common in the general population. Around a third of care leavers (36%) and those ever in care (33%) pursued a vocational pathway, compared to just 13% of the general population.</w:t>
      </w:r>
      <w:r>
        <w:t xml:space="preserve"> </w:t>
      </w:r>
    </w:p>
    <w:p w14:paraId="629DC7F5" w14:textId="45681A51" w:rsidR="003D7C5E" w:rsidRDefault="003D7C5E" w:rsidP="003D7C5E">
      <w:pPr>
        <w:pStyle w:val="ListParagraph"/>
        <w:numPr>
          <w:ilvl w:val="0"/>
          <w:numId w:val="7"/>
        </w:numPr>
      </w:pPr>
      <w:r w:rsidRPr="00D44B1D">
        <w:rPr>
          <w:b/>
          <w:bCs/>
        </w:rPr>
        <w:t>Sheffield Hallam University and the University of Oxford</w:t>
      </w:r>
      <w:r>
        <w:t xml:space="preserve">, funded by the Unite Foundation, published </w:t>
      </w:r>
      <w:r w:rsidR="003E2761">
        <w:t>‘</w:t>
      </w:r>
      <w:hyperlink r:id="rId13" w:history="1">
        <w:r w:rsidRPr="003E2761">
          <w:rPr>
            <w:rStyle w:val="Hyperlink"/>
          </w:rPr>
          <w:t>Positive Impact? Looking at what factors affect access, retention and graduate outcomes for university students with a background of care or family estrangement</w:t>
        </w:r>
        <w:r w:rsidR="003E2761" w:rsidRPr="003E2761">
          <w:rPr>
            <w:rStyle w:val="Hyperlink"/>
          </w:rPr>
          <w:t>’</w:t>
        </w:r>
      </w:hyperlink>
      <w:r>
        <w:t xml:space="preserve">. </w:t>
      </w:r>
      <w:r w:rsidR="00F134D1">
        <w:t>T</w:t>
      </w:r>
      <w:r>
        <w:t xml:space="preserve">hey found: </w:t>
      </w:r>
    </w:p>
    <w:p w14:paraId="20B51F52" w14:textId="32E478FD" w:rsidR="003D7C5E" w:rsidRDefault="00CF711E" w:rsidP="003D7C5E">
      <w:pPr>
        <w:pStyle w:val="ListParagraph"/>
        <w:numPr>
          <w:ilvl w:val="1"/>
          <w:numId w:val="7"/>
        </w:numPr>
      </w:pPr>
      <w:r w:rsidRPr="00CF711E">
        <w:t xml:space="preserve">When background factors are </w:t>
      </w:r>
      <w:proofErr w:type="gramStart"/>
      <w:r w:rsidRPr="00CF711E">
        <w:t>taken into account</w:t>
      </w:r>
      <w:proofErr w:type="gramEnd"/>
      <w:r w:rsidR="00F134D1">
        <w:t>,</w:t>
      </w:r>
      <w:r>
        <w:t xml:space="preserve"> </w:t>
      </w:r>
      <w:r w:rsidRPr="00CF711E">
        <w:t xml:space="preserve">care leavers remain 11 </w:t>
      </w:r>
      <w:r w:rsidR="00F134D1">
        <w:t>%</w:t>
      </w:r>
      <w:r w:rsidRPr="00CF711E">
        <w:t xml:space="preserve"> less likely to attend higher education compared to the general population of young people, and are 38</w:t>
      </w:r>
      <w:r w:rsidR="00F134D1">
        <w:t>%</w:t>
      </w:r>
      <w:r w:rsidRPr="00CF711E">
        <w:t xml:space="preserve"> more likely to withdraw from their studies, even when entry qualifications and other background variables are </w:t>
      </w:r>
      <w:proofErr w:type="gramStart"/>
      <w:r w:rsidRPr="00CF711E">
        <w:t>taken into account</w:t>
      </w:r>
      <w:proofErr w:type="gramEnd"/>
      <w:r w:rsidR="003E2761">
        <w:t>.</w:t>
      </w:r>
    </w:p>
    <w:p w14:paraId="4D85F0CE" w14:textId="356AB4CB" w:rsidR="00CF711E" w:rsidRPr="003D7C5E" w:rsidRDefault="00CF711E" w:rsidP="1A184686">
      <w:pPr>
        <w:pStyle w:val="ListParagraph"/>
      </w:pPr>
      <w:r>
        <w:t xml:space="preserve">Outcomes for care experienced graduates were broadly similar, on average, to other graduates […] care experienced graduates did notably better than might have been predicted </w:t>
      </w:r>
      <w:proofErr w:type="gramStart"/>
      <w:r>
        <w:t>on the basis of</w:t>
      </w:r>
      <w:proofErr w:type="gramEnd"/>
      <w:r>
        <w:t xml:space="preserve"> their higher education qualifications, where they did their degree, and their demographic profile.</w:t>
      </w:r>
    </w:p>
    <w:p w14:paraId="3E94E577" w14:textId="0DCF4759" w:rsidR="1A184686" w:rsidRDefault="1A184686" w:rsidP="1A184686">
      <w:pPr>
        <w:pStyle w:val="ListParagraph"/>
        <w:numPr>
          <w:ilvl w:val="0"/>
          <w:numId w:val="0"/>
        </w:numPr>
        <w:ind w:left="1440"/>
      </w:pPr>
    </w:p>
    <w:p w14:paraId="106CD890" w14:textId="12980971" w:rsidR="002774E3" w:rsidRDefault="002774E3" w:rsidP="002774E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Why </w:t>
      </w:r>
      <w:r w:rsidR="005066FA">
        <w:rPr>
          <w:rFonts w:eastAsia="Times New Roman"/>
          <w:lang w:eastAsia="en-GB"/>
        </w:rPr>
        <w:t xml:space="preserve">housing? </w:t>
      </w:r>
    </w:p>
    <w:p w14:paraId="36D5A587" w14:textId="51C50CA7" w:rsidR="005066FA" w:rsidRPr="005066FA" w:rsidRDefault="005066FA" w:rsidP="00116883">
      <w:pPr>
        <w:pStyle w:val="ListParagraph"/>
      </w:pPr>
      <w:r w:rsidRPr="005066FA">
        <w:rPr>
          <w:b/>
          <w:bCs/>
        </w:rPr>
        <w:t xml:space="preserve">Lack of </w:t>
      </w:r>
      <w:r>
        <w:rPr>
          <w:b/>
          <w:bCs/>
        </w:rPr>
        <w:t>f</w:t>
      </w:r>
      <w:r w:rsidRPr="005066FA">
        <w:rPr>
          <w:b/>
          <w:bCs/>
        </w:rPr>
        <w:t xml:space="preserve">amily </w:t>
      </w:r>
      <w:r>
        <w:rPr>
          <w:b/>
          <w:bCs/>
        </w:rPr>
        <w:t>s</w:t>
      </w:r>
      <w:r w:rsidRPr="005066FA">
        <w:rPr>
          <w:b/>
          <w:bCs/>
        </w:rPr>
        <w:t>upport</w:t>
      </w:r>
      <w:r w:rsidRPr="005066FA">
        <w:t xml:space="preserve"> - Care experienced and estranged students often do not have a family home to return to during holidays or in times of crisis. This makes secure, year-round housing essential - not just during term time.</w:t>
      </w:r>
    </w:p>
    <w:p w14:paraId="1D399427" w14:textId="77777777" w:rsidR="005066FA" w:rsidRPr="005066FA" w:rsidRDefault="005066FA" w:rsidP="0018671E">
      <w:pPr>
        <w:pStyle w:val="ListParagraph"/>
      </w:pPr>
      <w:r w:rsidRPr="005066FA">
        <w:rPr>
          <w:b/>
          <w:bCs/>
        </w:rPr>
        <w:t>Financial vulnerability -</w:t>
      </w:r>
      <w:r w:rsidRPr="005066FA">
        <w:t xml:space="preserve"> Without family financial support, these students are more likely to face housing insecurity or homelessness. Rent arrears, deposits, and upfront costs can be major barriers.</w:t>
      </w:r>
    </w:p>
    <w:p w14:paraId="5DF59AA3" w14:textId="2FE86207" w:rsidR="005066FA" w:rsidRPr="005066FA" w:rsidRDefault="005066FA" w:rsidP="00E60587">
      <w:pPr>
        <w:pStyle w:val="ListParagraph"/>
      </w:pPr>
      <w:r w:rsidRPr="005066FA">
        <w:rPr>
          <w:b/>
          <w:bCs/>
        </w:rPr>
        <w:t xml:space="preserve">Stability and </w:t>
      </w:r>
      <w:r>
        <w:rPr>
          <w:b/>
          <w:bCs/>
        </w:rPr>
        <w:t>w</w:t>
      </w:r>
      <w:r w:rsidRPr="005066FA">
        <w:rPr>
          <w:b/>
          <w:bCs/>
        </w:rPr>
        <w:t>ell</w:t>
      </w:r>
      <w:r w:rsidR="00F134D1">
        <w:rPr>
          <w:b/>
          <w:bCs/>
        </w:rPr>
        <w:t>-</w:t>
      </w:r>
      <w:r w:rsidRPr="005066FA">
        <w:rPr>
          <w:b/>
          <w:bCs/>
        </w:rPr>
        <w:t>being</w:t>
      </w:r>
      <w:r w:rsidRPr="005066FA">
        <w:t xml:space="preserve"> - Stable housing contributes to mental health, academic performance, and overall well</w:t>
      </w:r>
      <w:r w:rsidR="00F134D1">
        <w:t>-</w:t>
      </w:r>
      <w:r w:rsidRPr="005066FA">
        <w:t>being. Uncertainty around where to live can lead to stress, isolation, and disengagement from studies.</w:t>
      </w:r>
    </w:p>
    <w:p w14:paraId="611C6D5F" w14:textId="5FD5CBB6" w:rsidR="005066FA" w:rsidRDefault="005066FA" w:rsidP="005066FA">
      <w:pPr>
        <w:pStyle w:val="ListParagraph"/>
      </w:pPr>
      <w:r w:rsidRPr="1A184686">
        <w:rPr>
          <w:b/>
          <w:bCs/>
        </w:rPr>
        <w:t>Equity and access</w:t>
      </w:r>
      <w:r>
        <w:t xml:space="preserve"> - Housing is a gateway issue - if students can’t secure safe and affordable accommodation, they may not be able to attend university at all. This undermines efforts to widen participation and promote social mobility.</w:t>
      </w:r>
    </w:p>
    <w:p w14:paraId="70D22505" w14:textId="1AB099FB" w:rsidR="1A184686" w:rsidRDefault="1A184686" w:rsidP="1A184686">
      <w:pPr>
        <w:pStyle w:val="ListParagraph"/>
        <w:numPr>
          <w:ilvl w:val="0"/>
          <w:numId w:val="0"/>
        </w:numPr>
        <w:ind w:left="720"/>
      </w:pPr>
    </w:p>
    <w:p w14:paraId="77D251E8" w14:textId="72B1858A" w:rsidR="005066FA" w:rsidRPr="005066FA" w:rsidRDefault="005066FA" w:rsidP="005066FA">
      <w:pPr>
        <w:rPr>
          <w:sz w:val="20"/>
          <w:szCs w:val="20"/>
        </w:rPr>
      </w:pPr>
      <w:r w:rsidRPr="005066FA">
        <w:rPr>
          <w:sz w:val="20"/>
          <w:szCs w:val="20"/>
        </w:rPr>
        <w:t xml:space="preserve">There is a wealth of wider evidence and insight that supports this: </w:t>
      </w:r>
    </w:p>
    <w:p w14:paraId="4616212F" w14:textId="6651B610" w:rsidR="00244984" w:rsidRPr="00987F72" w:rsidRDefault="00DA6A7C" w:rsidP="00D52F19">
      <w:pPr>
        <w:pStyle w:val="ListParagraph"/>
      </w:pPr>
      <w:r>
        <w:t>S</w:t>
      </w:r>
      <w:r w:rsidR="00244984" w:rsidRPr="00987F72">
        <w:t>tudents tell us that a safe and secure home at university, year-round, means they can make the most of the full university experience</w:t>
      </w:r>
      <w:r w:rsidR="00F134D1">
        <w:t>.</w:t>
      </w:r>
      <w:r w:rsidR="006B7ED5">
        <w:t xml:space="preserve"> </w:t>
      </w:r>
      <w:r w:rsidR="00F134D1">
        <w:t>T</w:t>
      </w:r>
      <w:r w:rsidR="006B7ED5">
        <w:t xml:space="preserve">his is reflected in their progression </w:t>
      </w:r>
      <w:r w:rsidR="003E2761">
        <w:t>and</w:t>
      </w:r>
      <w:r w:rsidR="006B7ED5">
        <w:t xml:space="preserve"> completion rates at a statistically higher rate than other care leavers</w:t>
      </w:r>
      <w:r w:rsidR="006B7ED5">
        <w:rPr>
          <w:rStyle w:val="FootnoteReference"/>
        </w:rPr>
        <w:footnoteReference w:id="4"/>
      </w:r>
      <w:r w:rsidR="003E2761">
        <w:t>.</w:t>
      </w:r>
    </w:p>
    <w:p w14:paraId="5A03F47F" w14:textId="3F420589" w:rsidR="00244984" w:rsidRDefault="00244984" w:rsidP="00D52F19">
      <w:pPr>
        <w:pStyle w:val="ListParagraph"/>
      </w:pPr>
      <w:r w:rsidRPr="00987F72">
        <w:t>Students dedicate more time to study</w:t>
      </w:r>
      <w:r w:rsidR="00DA6A7C">
        <w:t xml:space="preserve"> as </w:t>
      </w:r>
      <w:r w:rsidR="003E2761">
        <w:t xml:space="preserve">they </w:t>
      </w:r>
      <w:r w:rsidRPr="00987F72">
        <w:t>are not reliant on paid work</w:t>
      </w:r>
      <w:r w:rsidR="00DA6A7C">
        <w:t xml:space="preserve">ing hours </w:t>
      </w:r>
      <w:r w:rsidRPr="00987F72">
        <w:t xml:space="preserve">to </w:t>
      </w:r>
      <w:r w:rsidR="00DA6A7C">
        <w:t xml:space="preserve">meet </w:t>
      </w:r>
      <w:r w:rsidRPr="00987F72">
        <w:t>rent, don’t have to worry about where t</w:t>
      </w:r>
      <w:r w:rsidR="00DA6A7C">
        <w:t xml:space="preserve">hey can go </w:t>
      </w:r>
      <w:r w:rsidRPr="00987F72">
        <w:t xml:space="preserve">during the holidays and </w:t>
      </w:r>
      <w:r w:rsidR="00587DB9">
        <w:t xml:space="preserve">are </w:t>
      </w:r>
      <w:r w:rsidRPr="00987F72">
        <w:t xml:space="preserve">able to save </w:t>
      </w:r>
      <w:r w:rsidR="00587DB9">
        <w:t xml:space="preserve">to secure suitable </w:t>
      </w:r>
      <w:r w:rsidR="00587DB9">
        <w:lastRenderedPageBreak/>
        <w:t>housing o</w:t>
      </w:r>
      <w:r w:rsidRPr="00987F72">
        <w:t>n graduat</w:t>
      </w:r>
      <w:r w:rsidR="00DA6A7C">
        <w:t>ion.  S</w:t>
      </w:r>
      <w:r w:rsidR="0083046E">
        <w:t xml:space="preserve">tudents </w:t>
      </w:r>
      <w:r w:rsidR="00DA6A7C">
        <w:t xml:space="preserve">report this as </w:t>
      </w:r>
      <w:r w:rsidR="00DA6A7C" w:rsidRPr="00BF4D10">
        <w:rPr>
          <w:i/>
          <w:iCs/>
        </w:rPr>
        <w:t>the</w:t>
      </w:r>
      <w:r w:rsidR="00DA6A7C">
        <w:t xml:space="preserve"> </w:t>
      </w:r>
      <w:r w:rsidR="00414BBA">
        <w:t xml:space="preserve">most important </w:t>
      </w:r>
      <w:r w:rsidR="00DA6A7C">
        <w:t xml:space="preserve">impact </w:t>
      </w:r>
      <w:r w:rsidR="00414BBA">
        <w:t>of the Unite Foundation scholarship</w:t>
      </w:r>
      <w:r w:rsidR="00DA6A7C">
        <w:t xml:space="preserve">; it </w:t>
      </w:r>
      <w:r w:rsidR="00414BBA">
        <w:t>"r</w:t>
      </w:r>
      <w:r w:rsidR="0083046E">
        <w:t>emoved stress and anxiety to allow focus on study</w:t>
      </w:r>
      <w:r w:rsidR="00414BBA">
        <w:t>"</w:t>
      </w:r>
      <w:r w:rsidR="00414BBA">
        <w:rPr>
          <w:rStyle w:val="FootnoteReference"/>
        </w:rPr>
        <w:footnoteReference w:id="5"/>
      </w:r>
    </w:p>
    <w:p w14:paraId="0B4886F4" w14:textId="453AFBBD" w:rsidR="00D44B1D" w:rsidRDefault="00D44B1D" w:rsidP="003E2761">
      <w:pPr>
        <w:pStyle w:val="ListParagraph"/>
      </w:pPr>
      <w:r>
        <w:t>Data from the HEPI/Advanced HE Student Academic Experience Survey shows that care experienced students work on average 11.3 hours/week, and estranged students work 11.1 hours/week, compared to 8.8 hours/week for other students. Work done on minimum income standards for those studying without financial support</w:t>
      </w:r>
      <w:r w:rsidR="003E2761">
        <w:t xml:space="preserve"> </w:t>
      </w:r>
      <w:r>
        <w:t xml:space="preserve">– e.g. care experienced students </w:t>
      </w:r>
      <w:r w:rsidR="003E2761">
        <w:t>–</w:t>
      </w:r>
      <w:r>
        <w:t xml:space="preserve"> </w:t>
      </w:r>
      <w:r w:rsidR="003E2761">
        <w:t>shows that</w:t>
      </w:r>
      <w:r w:rsidR="009F3B64">
        <w:t>,</w:t>
      </w:r>
      <w:r w:rsidR="003E2761">
        <w:t xml:space="preserve"> even with the full maintenance loan</w:t>
      </w:r>
      <w:r w:rsidR="009F3B64">
        <w:t>,</w:t>
      </w:r>
      <w:r w:rsidR="003E2761">
        <w:t xml:space="preserve"> students </w:t>
      </w:r>
      <w:r>
        <w:t>need to work over 20 hours at minimum wage to achieve the minimum income standard needed to survive at university</w:t>
      </w:r>
      <w:r w:rsidR="00001430">
        <w:rPr>
          <w:rStyle w:val="FootnoteReference"/>
        </w:rPr>
        <w:footnoteReference w:id="6"/>
      </w:r>
      <w:r>
        <w:t xml:space="preserve">.  </w:t>
      </w:r>
    </w:p>
    <w:p w14:paraId="5477447C" w14:textId="327F3266" w:rsidR="00244984" w:rsidRPr="00D44B1D" w:rsidRDefault="00DA6A7C" w:rsidP="00D52F19">
      <w:pPr>
        <w:pStyle w:val="ListParagraph"/>
      </w:pPr>
      <w:r>
        <w:t>As</w:t>
      </w:r>
      <w:r w:rsidR="00244984" w:rsidRPr="00987F72">
        <w:t xml:space="preserve"> more estranged and care experienced young people </w:t>
      </w:r>
      <w:r>
        <w:t xml:space="preserve">become </w:t>
      </w:r>
      <w:r w:rsidR="00244984" w:rsidRPr="00987F72">
        <w:t xml:space="preserve">confident that they </w:t>
      </w:r>
      <w:r>
        <w:t xml:space="preserve">can </w:t>
      </w:r>
      <w:r w:rsidR="00244984" w:rsidRPr="00987F72">
        <w:t xml:space="preserve">have a home at university, </w:t>
      </w:r>
      <w:r>
        <w:t xml:space="preserve">we expect </w:t>
      </w:r>
      <w:r w:rsidR="00244984" w:rsidRPr="00987F72">
        <w:t xml:space="preserve">this </w:t>
      </w:r>
      <w:r>
        <w:t xml:space="preserve">to </w:t>
      </w:r>
      <w:r w:rsidR="00244984" w:rsidRPr="00987F72">
        <w:t>increase participation from what is a significantly underrepresented group</w:t>
      </w:r>
      <w:r w:rsidR="0083046E">
        <w:t>. W</w:t>
      </w:r>
      <w:r w:rsidR="0083046E" w:rsidRPr="000F53B1">
        <w:t xml:space="preserve">hen asked to identify the factor that was most decisive in making a choice of university, </w:t>
      </w:r>
      <w:r>
        <w:t xml:space="preserve">the number one priority was </w:t>
      </w:r>
      <w:r w:rsidR="00587DB9">
        <w:t>"</w:t>
      </w:r>
      <w:r w:rsidRPr="000F53B1">
        <w:t>the level of support available”</w:t>
      </w:r>
      <w:r>
        <w:t xml:space="preserve"> (</w:t>
      </w:r>
      <w:r w:rsidR="0083046E" w:rsidRPr="000F53B1">
        <w:t>11% of care-leavers</w:t>
      </w:r>
      <w:r>
        <w:t>/</w:t>
      </w:r>
      <w:r w:rsidR="0083046E" w:rsidRPr="000F53B1">
        <w:t xml:space="preserve">9% of estranged students </w:t>
      </w:r>
      <w:r>
        <w:t xml:space="preserve">versus </w:t>
      </w:r>
      <w:r w:rsidRPr="00D44B1D">
        <w:t xml:space="preserve">under </w:t>
      </w:r>
      <w:r w:rsidR="0083046E" w:rsidRPr="00D44B1D">
        <w:t>4% of students from other backgrounds</w:t>
      </w:r>
      <w:r w:rsidRPr="00D44B1D">
        <w:t>)</w:t>
      </w:r>
      <w:r w:rsidR="009F3B64">
        <w:t>.</w:t>
      </w:r>
      <w:r w:rsidR="0083046E" w:rsidRPr="00D44B1D">
        <w:rPr>
          <w:rStyle w:val="FootnoteReference"/>
        </w:rPr>
        <w:footnoteReference w:id="7"/>
      </w:r>
    </w:p>
    <w:p w14:paraId="10FA6F35" w14:textId="0AD1D967" w:rsidR="00D44B1D" w:rsidRPr="00D44B1D" w:rsidRDefault="00D44B1D" w:rsidP="00D44B1D">
      <w:pPr>
        <w:pStyle w:val="ListParagraph"/>
      </w:pPr>
      <w:r w:rsidRPr="00D44B1D">
        <w:t>This was supported by research from UCAS that found students’ decision making is influenced by their individual support needs</w:t>
      </w:r>
      <w:r w:rsidR="00F134D1">
        <w:t>,</w:t>
      </w:r>
      <w:r w:rsidRPr="00D44B1D">
        <w:t xml:space="preserve"> with three quarters of surveyed applicants t</w:t>
      </w:r>
      <w:r w:rsidR="009F3B64">
        <w:t>aking</w:t>
      </w:r>
      <w:r w:rsidRPr="00D44B1D">
        <w:t xml:space="preserve"> mental health and </w:t>
      </w:r>
      <w:r w:rsidR="00F134D1">
        <w:t>well-being</w:t>
      </w:r>
      <w:r w:rsidRPr="00D44B1D">
        <w:t xml:space="preserve"> support into account (76%), with financial support (64%) and guaranteed accommodation (63%) also important when </w:t>
      </w:r>
      <w:r w:rsidR="009F3B64">
        <w:t xml:space="preserve">students </w:t>
      </w:r>
      <w:r w:rsidRPr="00D44B1D">
        <w:t>research higher education options.</w:t>
      </w:r>
      <w:r>
        <w:rPr>
          <w:rStyle w:val="FootnoteReference"/>
        </w:rPr>
        <w:footnoteReference w:id="8"/>
      </w:r>
    </w:p>
    <w:p w14:paraId="232B23F2" w14:textId="61438EDF" w:rsidR="00DB2694" w:rsidRDefault="00D44B1D" w:rsidP="005066FA">
      <w:pPr>
        <w:pStyle w:val="ListParagraph"/>
      </w:pPr>
      <w:r>
        <w:t>The MacAlister review found that t</w:t>
      </w:r>
      <w:r w:rsidR="00015163" w:rsidRPr="00552954">
        <w:t xml:space="preserve">he average lifetime cost </w:t>
      </w:r>
      <w:r w:rsidR="00015163">
        <w:t>to the state of</w:t>
      </w:r>
      <w:r w:rsidR="00015163" w:rsidRPr="00552954">
        <w:t xml:space="preserve"> statutory care leavers</w:t>
      </w:r>
      <w:r w:rsidR="00015163">
        <w:t xml:space="preserve"> once they've left care</w:t>
      </w:r>
      <w:r w:rsidR="00015163" w:rsidRPr="00552954">
        <w:t xml:space="preserve"> is £1.2m per child</w:t>
      </w:r>
      <w:r w:rsidR="00015163" w:rsidRPr="00552954">
        <w:rPr>
          <w:rStyle w:val="FootnoteReference"/>
        </w:rPr>
        <w:footnoteReference w:id="9"/>
      </w:r>
      <w:r w:rsidR="00015163" w:rsidRPr="00552954">
        <w:t>.</w:t>
      </w:r>
      <w:r w:rsidR="00015163">
        <w:t xml:space="preserve"> </w:t>
      </w:r>
      <w:r>
        <w:t xml:space="preserve">We know from research that </w:t>
      </w:r>
      <w:r w:rsidR="00015163">
        <w:t>"</w:t>
      </w:r>
      <w:r w:rsidR="00015163" w:rsidRPr="00552954">
        <w:t>Young people who are care leavers who complete their university courses transcend their backgrounds and do at least as well in their future careers as other students</w:t>
      </w:r>
      <w:r w:rsidR="00015163">
        <w:t>"</w:t>
      </w:r>
      <w:r w:rsidR="00015163" w:rsidRPr="00552954">
        <w:rPr>
          <w:rStyle w:val="FootnoteReference"/>
        </w:rPr>
        <w:footnoteReference w:id="10"/>
      </w:r>
      <w:r w:rsidR="00015163" w:rsidRPr="00552954">
        <w:t xml:space="preserve"> and have the same life outcomes as non-care experienced young people</w:t>
      </w:r>
      <w:r w:rsidR="00015163">
        <w:t xml:space="preserve"> - reducing the cost to the state of health inequalities, involvement with the criminal justice system etc</w:t>
      </w:r>
      <w:r w:rsidR="00015163" w:rsidRPr="00552954">
        <w:t xml:space="preserve">. </w:t>
      </w:r>
      <w:r>
        <w:t>It could be argued that a housing</w:t>
      </w:r>
      <w:r w:rsidR="00015163" w:rsidRPr="00D003B9">
        <w:t xml:space="preserve"> scholarship is therefore saving the state over £1.1m for every student we support, given a maximum cost of £45k for three years</w:t>
      </w:r>
      <w:r w:rsidR="00015163">
        <w:t>.</w:t>
      </w:r>
      <w:r w:rsidR="00E16134">
        <w:t xml:space="preserve"> </w:t>
      </w:r>
    </w:p>
    <w:p w14:paraId="7AB8FFDD" w14:textId="77777777" w:rsidR="00D44B1D" w:rsidRDefault="00D44B1D" w:rsidP="00D44B1D"/>
    <w:p w14:paraId="5610B25C" w14:textId="78E4A2EB" w:rsidR="00D44B1D" w:rsidRDefault="00D44B1D" w:rsidP="00D44B1D">
      <w:pPr>
        <w:pStyle w:val="Heading2"/>
      </w:pPr>
      <w:r>
        <w:t xml:space="preserve">Impact of housing </w:t>
      </w:r>
    </w:p>
    <w:p w14:paraId="3EACF8A8" w14:textId="77777777" w:rsidR="009973C3" w:rsidRDefault="009973C3" w:rsidP="009973C3">
      <w:pPr>
        <w:spacing w:line="276" w:lineRule="auto"/>
        <w:rPr>
          <w:sz w:val="20"/>
          <w:szCs w:val="20"/>
        </w:rPr>
      </w:pPr>
    </w:p>
    <w:p w14:paraId="3B91AA1A" w14:textId="3441FF00" w:rsidR="009973C3" w:rsidRDefault="009973C3" w:rsidP="009973C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The Unite Foundation commissioned J</w:t>
      </w:r>
      <w:r w:rsidRPr="009973C3">
        <w:rPr>
          <w:sz w:val="20"/>
          <w:szCs w:val="20"/>
        </w:rPr>
        <w:t xml:space="preserve">isc to undertake an </w:t>
      </w:r>
      <w:hyperlink r:id="rId14" w:history="1">
        <w:r w:rsidRPr="009F3B64">
          <w:rPr>
            <w:rStyle w:val="Hyperlink"/>
            <w:sz w:val="20"/>
            <w:szCs w:val="20"/>
          </w:rPr>
          <w:t>independent comparative analysis of 10 years of our data</w:t>
        </w:r>
      </w:hyperlink>
      <w:r>
        <w:rPr>
          <w:sz w:val="20"/>
          <w:szCs w:val="20"/>
        </w:rPr>
        <w:t xml:space="preserve"> to understand whether supporting students with housing made a difference </w:t>
      </w:r>
      <w:r w:rsidR="00F134D1">
        <w:rPr>
          <w:sz w:val="20"/>
          <w:szCs w:val="20"/>
        </w:rPr>
        <w:t>to the outcomes of</w:t>
      </w:r>
      <w:r>
        <w:rPr>
          <w:sz w:val="20"/>
          <w:szCs w:val="20"/>
        </w:rPr>
        <w:t xml:space="preserve"> care experienced and estranged students. </w:t>
      </w:r>
      <w:r w:rsidRPr="009973C3">
        <w:rPr>
          <w:sz w:val="20"/>
          <w:szCs w:val="20"/>
        </w:rPr>
        <w:t xml:space="preserve">Jisc’s objective analysis suggests “strong evidence that the scholarship improves educational outcomes of the students we support, specifically in </w:t>
      </w:r>
      <w:r w:rsidR="00F134D1">
        <w:rPr>
          <w:sz w:val="20"/>
          <w:szCs w:val="20"/>
        </w:rPr>
        <w:t>year-to-year</w:t>
      </w:r>
      <w:r w:rsidRPr="009973C3">
        <w:rPr>
          <w:sz w:val="20"/>
          <w:szCs w:val="20"/>
        </w:rPr>
        <w:t xml:space="preserve"> progression and completion”</w:t>
      </w:r>
      <w:r w:rsidR="00F134D1">
        <w:rPr>
          <w:sz w:val="20"/>
          <w:szCs w:val="20"/>
        </w:rPr>
        <w:t>.</w:t>
      </w:r>
      <w:r>
        <w:rPr>
          <w:sz w:val="20"/>
          <w:szCs w:val="20"/>
        </w:rPr>
        <w:t xml:space="preserve"> Findings include: </w:t>
      </w:r>
    </w:p>
    <w:p w14:paraId="23B81CC8" w14:textId="208AC726" w:rsidR="009973C3" w:rsidRDefault="009973C3" w:rsidP="0092147E">
      <w:pPr>
        <w:pStyle w:val="ListParagraph"/>
        <w:numPr>
          <w:ilvl w:val="0"/>
          <w:numId w:val="14"/>
        </w:numPr>
      </w:pPr>
      <w:r w:rsidRPr="009973C3">
        <w:t xml:space="preserve">Unite Foundation students progressed from their 1st to 2nd year of programme within 2 academic years at the same percentage as non-care leaver students </w:t>
      </w:r>
      <w:r>
        <w:t xml:space="preserve">(87%) </w:t>
      </w:r>
      <w:r w:rsidRPr="009973C3">
        <w:t xml:space="preserve">and at a statistically significantly higher percentage </w:t>
      </w:r>
      <w:r w:rsidR="00F134D1">
        <w:t xml:space="preserve">compared </w:t>
      </w:r>
      <w:r w:rsidRPr="009973C3">
        <w:t>to the other care leavers groups examined</w:t>
      </w:r>
      <w:r>
        <w:t xml:space="preserve"> (76%)</w:t>
      </w:r>
      <w:r w:rsidRPr="009973C3">
        <w:t>.</w:t>
      </w:r>
    </w:p>
    <w:p w14:paraId="42C6340B" w14:textId="77777777" w:rsidR="009973C3" w:rsidRDefault="009973C3" w:rsidP="001D2666">
      <w:pPr>
        <w:pStyle w:val="ListParagraph"/>
        <w:numPr>
          <w:ilvl w:val="0"/>
          <w:numId w:val="14"/>
        </w:numPr>
      </w:pPr>
      <w:r w:rsidRPr="009973C3">
        <w:lastRenderedPageBreak/>
        <w:t>When looking at year 2 to 3 continuation, again within 2 academic years, Unite Foundation students progressed at a greater percentage</w:t>
      </w:r>
      <w:r>
        <w:t xml:space="preserve"> (86</w:t>
      </w:r>
      <w:proofErr w:type="gramStart"/>
      <w:r>
        <w:t xml:space="preserve">%) </w:t>
      </w:r>
      <w:r w:rsidRPr="009973C3">
        <w:t xml:space="preserve"> than</w:t>
      </w:r>
      <w:proofErr w:type="gramEnd"/>
      <w:r w:rsidRPr="009973C3">
        <w:t xml:space="preserve"> other care-leavers </w:t>
      </w:r>
      <w:r>
        <w:t xml:space="preserve">(81%) </w:t>
      </w:r>
      <w:r w:rsidRPr="009973C3">
        <w:t>and within 5 percentage points of the non-care leaver population</w:t>
      </w:r>
      <w:r>
        <w:t xml:space="preserve"> (91%)</w:t>
      </w:r>
      <w:r w:rsidRPr="009973C3">
        <w:t>.</w:t>
      </w:r>
    </w:p>
    <w:p w14:paraId="61AA800E" w14:textId="2D3E3C8E" w:rsidR="009973C3" w:rsidRPr="009973C3" w:rsidRDefault="009973C3" w:rsidP="1A184686">
      <w:pPr>
        <w:pStyle w:val="ListParagraph"/>
      </w:pPr>
      <w:r>
        <w:t xml:space="preserve">78% of Unite Foundation students achieved a ‘good honours’ degree within 3 percentage points of non-care leaver students (81%) and at a statistically significantly higher percentage than all other care leaver student groups (70%). </w:t>
      </w:r>
    </w:p>
    <w:p w14:paraId="200DD868" w14:textId="3EC61740" w:rsidR="1A184686" w:rsidRDefault="1A184686" w:rsidP="1A184686">
      <w:pPr>
        <w:pStyle w:val="ListParagraph"/>
        <w:numPr>
          <w:ilvl w:val="0"/>
          <w:numId w:val="0"/>
        </w:numPr>
        <w:ind w:left="720"/>
      </w:pPr>
    </w:p>
    <w:p w14:paraId="259AAABD" w14:textId="77777777" w:rsidR="009973C3" w:rsidRPr="009973C3" w:rsidRDefault="009973C3" w:rsidP="009973C3">
      <w:pPr>
        <w:spacing w:line="276" w:lineRule="auto"/>
        <w:rPr>
          <w:sz w:val="20"/>
          <w:szCs w:val="20"/>
        </w:rPr>
      </w:pPr>
      <w:r w:rsidRPr="009973C3">
        <w:rPr>
          <w:sz w:val="20"/>
          <w:szCs w:val="20"/>
        </w:rPr>
        <w:t>Our scholarship is currently the only intervention evidenced at Office for Students Tier 2 level to impact on progression, completion and attainment of care experienced students.</w:t>
      </w:r>
    </w:p>
    <w:p w14:paraId="3A697514" w14:textId="77777777" w:rsidR="00D44B1D" w:rsidRDefault="00D44B1D" w:rsidP="00D44B1D"/>
    <w:sectPr w:rsidR="00D44B1D" w:rsidSect="006B67C2">
      <w:headerReference w:type="default" r:id="rId15"/>
      <w:footerReference w:type="defaul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03EC" w14:textId="77777777" w:rsidR="009E0F07" w:rsidRDefault="009E0F07" w:rsidP="00274257">
      <w:r>
        <w:separator/>
      </w:r>
    </w:p>
  </w:endnote>
  <w:endnote w:type="continuationSeparator" w:id="0">
    <w:p w14:paraId="3F45E45B" w14:textId="77777777" w:rsidR="009E0F07" w:rsidRDefault="009E0F07" w:rsidP="0027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7C7C" w14:textId="77777777" w:rsidR="003D7C5E" w:rsidRDefault="003D7C5E" w:rsidP="003D7C5E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>The Unite Foundation</w:t>
    </w:r>
  </w:p>
  <w:p w14:paraId="24E773FF" w14:textId="77777777" w:rsidR="003D7C5E" w:rsidRDefault="003D7C5E" w:rsidP="003D7C5E">
    <w:pPr>
      <w:ind w:left="8640"/>
      <w:rPr>
        <w:color w:val="09BCC0"/>
        <w:sz w:val="16"/>
        <w:szCs w:val="16"/>
      </w:rPr>
    </w:pPr>
    <w:r>
      <w:rPr>
        <w:color w:val="09BCC0"/>
        <w:sz w:val="16"/>
        <w:szCs w:val="16"/>
      </w:rPr>
      <w:t xml:space="preserve">is </w:t>
    </w:r>
    <w:r w:rsidRPr="00B708F4">
      <w:rPr>
        <w:color w:val="09BCC0"/>
        <w:sz w:val="16"/>
        <w:szCs w:val="16"/>
      </w:rPr>
      <w:t xml:space="preserve">a </w:t>
    </w:r>
    <w:r>
      <w:rPr>
        <w:color w:val="09BCC0"/>
        <w:sz w:val="16"/>
        <w:szCs w:val="16"/>
      </w:rPr>
      <w:t>CIO</w:t>
    </w:r>
    <w:r w:rsidRPr="00B708F4">
      <w:rPr>
        <w:color w:val="09BCC0"/>
        <w:sz w:val="16"/>
        <w:szCs w:val="16"/>
      </w:rPr>
      <w:t xml:space="preserve"> </w:t>
    </w:r>
    <w:r>
      <w:rPr>
        <w:color w:val="09BCC0"/>
        <w:sz w:val="16"/>
        <w:szCs w:val="16"/>
      </w:rPr>
      <w:t>registered in</w:t>
    </w:r>
  </w:p>
  <w:p w14:paraId="5E59B408" w14:textId="77777777" w:rsidR="003D7C5E" w:rsidRDefault="003D7C5E" w:rsidP="003D7C5E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 xml:space="preserve">England </w:t>
    </w:r>
    <w:r>
      <w:rPr>
        <w:color w:val="09BCC0"/>
        <w:sz w:val="16"/>
        <w:szCs w:val="16"/>
      </w:rPr>
      <w:t>+</w:t>
    </w:r>
    <w:r w:rsidRPr="00B708F4">
      <w:rPr>
        <w:color w:val="09BCC0"/>
        <w:sz w:val="16"/>
        <w:szCs w:val="16"/>
      </w:rPr>
      <w:t xml:space="preserve"> Wales 1198601</w:t>
    </w:r>
  </w:p>
  <w:p w14:paraId="6B0E586E" w14:textId="2A7DD574" w:rsidR="001E4388" w:rsidRPr="003D7C5E" w:rsidRDefault="003D7C5E" w:rsidP="003D7C5E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>Scotland SC051987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BD18" w14:textId="77777777" w:rsidR="009E0F07" w:rsidRDefault="009E0F07" w:rsidP="00274257">
      <w:r>
        <w:separator/>
      </w:r>
    </w:p>
  </w:footnote>
  <w:footnote w:type="continuationSeparator" w:id="0">
    <w:p w14:paraId="64E6360C" w14:textId="77777777" w:rsidR="009E0F07" w:rsidRDefault="009E0F07" w:rsidP="00274257">
      <w:r>
        <w:continuationSeparator/>
      </w:r>
    </w:p>
  </w:footnote>
  <w:footnote w:id="1">
    <w:p w14:paraId="76FBF0AF" w14:textId="52134BFC" w:rsidR="00452C74" w:rsidRPr="003322C9" w:rsidRDefault="003322C9">
      <w:pPr>
        <w:pStyle w:val="FootnoteText"/>
        <w:rPr>
          <w:sz w:val="16"/>
          <w:szCs w:val="16"/>
        </w:rPr>
      </w:pPr>
      <w:r w:rsidRPr="003322C9">
        <w:rPr>
          <w:rStyle w:val="FootnoteReference"/>
          <w:sz w:val="16"/>
          <w:szCs w:val="16"/>
        </w:rPr>
        <w:footnoteRef/>
      </w:r>
      <w:r w:rsidRPr="003322C9">
        <w:rPr>
          <w:sz w:val="16"/>
          <w:szCs w:val="16"/>
        </w:rPr>
        <w:t xml:space="preserve"> </w:t>
      </w:r>
      <w:hyperlink r:id="rId1" w:history="1">
        <w:r w:rsidRPr="003322C9">
          <w:rPr>
            <w:rStyle w:val="Hyperlink"/>
            <w:sz w:val="16"/>
            <w:szCs w:val="16"/>
          </w:rPr>
          <w:t>https://explore-education-statistics.service.gov.uk/find-statistics/widening-participation-in-higher-education/2023-24</w:t>
        </w:r>
      </w:hyperlink>
    </w:p>
  </w:footnote>
  <w:footnote w:id="2">
    <w:p w14:paraId="1AC10F67" w14:textId="6C4FF267" w:rsidR="00452C74" w:rsidRDefault="00452C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775E">
          <w:rPr>
            <w:rStyle w:val="Hyperlink"/>
            <w:sz w:val="16"/>
            <w:szCs w:val="16"/>
          </w:rPr>
          <w:t>https://www.officeforstudents.org.uk/data-and-analysis/student-characteristics-data/outcomes-data-dashboard/</w:t>
        </w:r>
      </w:hyperlink>
    </w:p>
  </w:footnote>
  <w:footnote w:id="3">
    <w:p w14:paraId="5E674A50" w14:textId="4F5A4E63" w:rsidR="003322C9" w:rsidRPr="003E2761" w:rsidRDefault="003322C9">
      <w:pPr>
        <w:pStyle w:val="FootnoteText"/>
        <w:rPr>
          <w:sz w:val="16"/>
          <w:szCs w:val="16"/>
        </w:rPr>
      </w:pPr>
      <w:r w:rsidRPr="003E2761">
        <w:rPr>
          <w:rStyle w:val="FootnoteReference"/>
          <w:sz w:val="16"/>
          <w:szCs w:val="16"/>
        </w:rPr>
        <w:footnoteRef/>
      </w:r>
      <w:r w:rsidR="00452C74">
        <w:rPr>
          <w:sz w:val="16"/>
          <w:szCs w:val="16"/>
        </w:rPr>
        <w:t xml:space="preserve"> </w:t>
      </w:r>
      <w:hyperlink r:id="rId3" w:history="1">
        <w:r w:rsidR="00452C74" w:rsidRPr="001E775E">
          <w:rPr>
            <w:rStyle w:val="Hyperlink"/>
            <w:sz w:val="16"/>
            <w:szCs w:val="16"/>
          </w:rPr>
          <w:t>https://www.officeforstudents.org.uk/data-and-analysis/student-characteristics-data/outcomes-data-dashboard/</w:t>
        </w:r>
      </w:hyperlink>
    </w:p>
  </w:footnote>
  <w:footnote w:id="4">
    <w:p w14:paraId="0FC0F786" w14:textId="22456429" w:rsidR="006B7ED5" w:rsidRDefault="006B7E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ED5">
        <w:rPr>
          <w:sz w:val="16"/>
          <w:szCs w:val="16"/>
        </w:rPr>
        <w:t>https://thisisusatuni.org/wp-content/uploads/2022/06/UNF_Report_16-9_v6.pdf</w:t>
      </w:r>
    </w:p>
  </w:footnote>
  <w:footnote w:id="5">
    <w:p w14:paraId="1D067C2E" w14:textId="7A16B9D4" w:rsidR="00414BBA" w:rsidRPr="00001430" w:rsidRDefault="00414BBA">
      <w:pPr>
        <w:pStyle w:val="FootnoteText"/>
        <w:rPr>
          <w:sz w:val="16"/>
          <w:szCs w:val="16"/>
        </w:rPr>
      </w:pPr>
      <w:r w:rsidRPr="00001430">
        <w:rPr>
          <w:rStyle w:val="FootnoteReference"/>
          <w:sz w:val="16"/>
          <w:szCs w:val="16"/>
        </w:rPr>
        <w:footnoteRef/>
      </w:r>
      <w:r w:rsidRPr="00001430">
        <w:rPr>
          <w:sz w:val="16"/>
          <w:szCs w:val="16"/>
        </w:rPr>
        <w:t xml:space="preserve"> </w:t>
      </w:r>
      <w:hyperlink r:id="rId4" w:history="1">
        <w:r w:rsidR="009F3B64" w:rsidRPr="00001430">
          <w:rPr>
            <w:rStyle w:val="Hyperlink"/>
            <w:sz w:val="16"/>
            <w:szCs w:val="16"/>
          </w:rPr>
          <w:t>https://thisisusatuni.org/wp-content/uploads/2021/10/Student-Survey-2021_Web.pdf</w:t>
        </w:r>
      </w:hyperlink>
      <w:r w:rsidRPr="00001430">
        <w:rPr>
          <w:sz w:val="16"/>
          <w:szCs w:val="16"/>
        </w:rPr>
        <w:t xml:space="preserve"> </w:t>
      </w:r>
    </w:p>
  </w:footnote>
  <w:footnote w:id="6">
    <w:p w14:paraId="2C84587A" w14:textId="34DB3BE5" w:rsidR="00001430" w:rsidRPr="00001430" w:rsidRDefault="00001430">
      <w:pPr>
        <w:pStyle w:val="FootnoteText"/>
        <w:rPr>
          <w:sz w:val="16"/>
          <w:szCs w:val="16"/>
        </w:rPr>
      </w:pPr>
      <w:r w:rsidRPr="00001430">
        <w:rPr>
          <w:rStyle w:val="FootnoteReference"/>
          <w:sz w:val="16"/>
          <w:szCs w:val="16"/>
        </w:rPr>
        <w:footnoteRef/>
      </w:r>
      <w:r w:rsidRPr="00001430">
        <w:rPr>
          <w:sz w:val="16"/>
          <w:szCs w:val="16"/>
        </w:rPr>
        <w:t xml:space="preserve"> </w:t>
      </w:r>
      <w:hyperlink r:id="rId5" w:history="1">
        <w:r w:rsidRPr="001E775E">
          <w:rPr>
            <w:rStyle w:val="Hyperlink"/>
            <w:sz w:val="16"/>
            <w:szCs w:val="16"/>
          </w:rPr>
          <w:t>https://www.hepi.ac.uk/reports/a-minimum-income-standard-for-students-2/</w:t>
        </w:r>
      </w:hyperlink>
    </w:p>
  </w:footnote>
  <w:footnote w:id="7">
    <w:p w14:paraId="4D77A793" w14:textId="27218555" w:rsidR="0083046E" w:rsidRPr="0083046E" w:rsidRDefault="0083046E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83046E">
          <w:rPr>
            <w:rStyle w:val="Hyperlink"/>
            <w:sz w:val="16"/>
            <w:szCs w:val="16"/>
          </w:rPr>
          <w:t>https://www.standalone.org.uk/wp-content/uploads/2013/08/StandAloneUNITEfoundation.pdf</w:t>
        </w:r>
      </w:hyperlink>
      <w:r w:rsidRPr="0083046E">
        <w:rPr>
          <w:sz w:val="16"/>
          <w:szCs w:val="16"/>
        </w:rPr>
        <w:t xml:space="preserve"> </w:t>
      </w:r>
    </w:p>
  </w:footnote>
  <w:footnote w:id="8">
    <w:p w14:paraId="0B9DB88E" w14:textId="49CFDE69" w:rsidR="00D44B1D" w:rsidRDefault="00D44B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D44B1D">
          <w:rPr>
            <w:rStyle w:val="Hyperlink"/>
            <w:sz w:val="16"/>
            <w:szCs w:val="16"/>
          </w:rPr>
          <w:t>https://www.ucas.com/data-and-analysis/undergraduate-statistics-and-reports/ucas-reports/next-steps-what-experience-students-care-background-education-report</w:t>
        </w:r>
      </w:hyperlink>
      <w:r w:rsidRPr="00D44B1D">
        <w:rPr>
          <w:sz w:val="16"/>
          <w:szCs w:val="16"/>
        </w:rPr>
        <w:t xml:space="preserve"> </w:t>
      </w:r>
    </w:p>
  </w:footnote>
  <w:footnote w:id="9">
    <w:p w14:paraId="3EEB9656" w14:textId="77777777" w:rsidR="00015163" w:rsidRPr="007C772E" w:rsidRDefault="00015163" w:rsidP="00015163">
      <w:pPr>
        <w:pStyle w:val="FootnoteText"/>
        <w:rPr>
          <w:sz w:val="16"/>
          <w:szCs w:val="16"/>
        </w:rPr>
      </w:pPr>
      <w:r w:rsidRPr="007C772E">
        <w:rPr>
          <w:rStyle w:val="FootnoteReference"/>
          <w:sz w:val="16"/>
          <w:szCs w:val="16"/>
        </w:rPr>
        <w:footnoteRef/>
      </w:r>
      <w:r w:rsidRPr="007C772E">
        <w:rPr>
          <w:sz w:val="16"/>
          <w:szCs w:val="16"/>
        </w:rPr>
        <w:t xml:space="preserve"> </w:t>
      </w:r>
      <w:hyperlink r:id="rId8" w:history="1">
        <w:r w:rsidRPr="00D003B9">
          <w:rPr>
            <w:rStyle w:val="Hyperlink"/>
            <w:sz w:val="16"/>
            <w:szCs w:val="16"/>
          </w:rPr>
          <w:t xml:space="preserve">https://childrenssocialcare.independent-review.uk/wp-content/uploads/2021/11/Paying-the-Price.pdf </w:t>
        </w:r>
      </w:hyperlink>
      <w:r w:rsidRPr="007C772E">
        <w:rPr>
          <w:sz w:val="16"/>
          <w:szCs w:val="16"/>
        </w:rPr>
        <w:t xml:space="preserve"> </w:t>
      </w:r>
    </w:p>
  </w:footnote>
  <w:footnote w:id="10">
    <w:p w14:paraId="6EF334EF" w14:textId="77777777" w:rsidR="00015163" w:rsidRPr="007C772E" w:rsidRDefault="00015163" w:rsidP="00015163">
      <w:pPr>
        <w:rPr>
          <w:sz w:val="16"/>
          <w:szCs w:val="16"/>
        </w:rPr>
      </w:pPr>
      <w:r w:rsidRPr="007C772E">
        <w:rPr>
          <w:rStyle w:val="FootnoteReference"/>
          <w:sz w:val="16"/>
          <w:szCs w:val="16"/>
        </w:rPr>
        <w:footnoteRef/>
      </w:r>
      <w:r w:rsidRPr="007C772E">
        <w:rPr>
          <w:sz w:val="16"/>
          <w:szCs w:val="16"/>
        </w:rPr>
        <w:t xml:space="preserve"> </w:t>
      </w:r>
      <w:hyperlink r:id="rId9" w:history="1">
        <w:r w:rsidRPr="007C772E">
          <w:rPr>
            <w:rStyle w:val="Hyperlink"/>
            <w:rFonts w:eastAsia="Times New Roman"/>
            <w:sz w:val="16"/>
            <w:szCs w:val="16"/>
          </w:rPr>
          <w:t>http://shura.shu.ac.uk/25839/1/Positive-Impact-Report.pdf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595" w14:textId="0C3C896C" w:rsidR="00274257" w:rsidRDefault="00274257" w:rsidP="00274257">
    <w:pPr>
      <w:pStyle w:val="Header"/>
      <w:jc w:val="right"/>
    </w:pPr>
    <w:r>
      <w:rPr>
        <w:noProof/>
      </w:rPr>
      <w:drawing>
        <wp:inline distT="0" distB="0" distL="0" distR="0" wp14:anchorId="40353B8E" wp14:editId="139C684A">
          <wp:extent cx="1152589" cy="645808"/>
          <wp:effectExtent l="0" t="0" r="3175" b="1905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219" cy="655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CDA72" w14:textId="77777777" w:rsidR="00523B4F" w:rsidRDefault="00523B4F" w:rsidP="002742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BB2"/>
    <w:multiLevelType w:val="multilevel"/>
    <w:tmpl w:val="026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B1F8C"/>
    <w:multiLevelType w:val="hybridMultilevel"/>
    <w:tmpl w:val="CED43242"/>
    <w:lvl w:ilvl="0" w:tplc="7B72616E">
      <w:start w:val="1"/>
      <w:numFmt w:val="bullet"/>
      <w:pStyle w:val="ListParagraph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758"/>
    <w:multiLevelType w:val="multilevel"/>
    <w:tmpl w:val="CA1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83563"/>
    <w:multiLevelType w:val="hybridMultilevel"/>
    <w:tmpl w:val="DE621980"/>
    <w:lvl w:ilvl="0" w:tplc="A7CE20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3C80"/>
    <w:multiLevelType w:val="multilevel"/>
    <w:tmpl w:val="7686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C374D"/>
    <w:multiLevelType w:val="hybridMultilevel"/>
    <w:tmpl w:val="ACC48BA0"/>
    <w:lvl w:ilvl="0" w:tplc="9FA03E5E">
      <w:numFmt w:val="bullet"/>
      <w:lvlText w:val="+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01DDA"/>
    <w:multiLevelType w:val="hybridMultilevel"/>
    <w:tmpl w:val="C7C4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03D22"/>
    <w:multiLevelType w:val="multilevel"/>
    <w:tmpl w:val="29A6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4594E"/>
    <w:multiLevelType w:val="hybridMultilevel"/>
    <w:tmpl w:val="A5EA72C6"/>
    <w:lvl w:ilvl="0" w:tplc="9FA03E5E">
      <w:numFmt w:val="bullet"/>
      <w:lvlText w:val="+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75ECE"/>
    <w:multiLevelType w:val="multilevel"/>
    <w:tmpl w:val="BB2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82051"/>
    <w:multiLevelType w:val="hybridMultilevel"/>
    <w:tmpl w:val="4A3C3D0E"/>
    <w:lvl w:ilvl="0" w:tplc="86E0AB26">
      <w:numFmt w:val="bullet"/>
      <w:lvlText w:val="+"/>
      <w:lvlJc w:val="left"/>
      <w:pPr>
        <w:ind w:left="720" w:hanging="360"/>
      </w:pPr>
      <w:rPr>
        <w:rFonts w:ascii="DM Sans" w:eastAsiaTheme="minorEastAsia" w:hAnsi="DM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A0D70"/>
    <w:multiLevelType w:val="hybridMultilevel"/>
    <w:tmpl w:val="08DE6F78"/>
    <w:lvl w:ilvl="0" w:tplc="22904272">
      <w:start w:val="1"/>
      <w:numFmt w:val="bullet"/>
      <w:lvlText w:val="+"/>
      <w:lvlJc w:val="left"/>
      <w:pPr>
        <w:ind w:left="720" w:hanging="360"/>
      </w:pPr>
      <w:rPr>
        <w:rFonts w:ascii="DM Sans Medium" w:hAnsi="DM Sans Medium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B795A"/>
    <w:multiLevelType w:val="hybridMultilevel"/>
    <w:tmpl w:val="7602BDDE"/>
    <w:lvl w:ilvl="0" w:tplc="22904272">
      <w:start w:val="1"/>
      <w:numFmt w:val="bullet"/>
      <w:lvlText w:val="+"/>
      <w:lvlJc w:val="left"/>
      <w:pPr>
        <w:ind w:left="720" w:hanging="360"/>
      </w:pPr>
      <w:rPr>
        <w:rFonts w:ascii="DM Sans Medium" w:hAnsi="DM Sans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B7A24"/>
    <w:multiLevelType w:val="multilevel"/>
    <w:tmpl w:val="135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39780">
    <w:abstractNumId w:val="1"/>
  </w:num>
  <w:num w:numId="2" w16cid:durableId="1121993486">
    <w:abstractNumId w:val="6"/>
  </w:num>
  <w:num w:numId="3" w16cid:durableId="665592605">
    <w:abstractNumId w:val="10"/>
  </w:num>
  <w:num w:numId="4" w16cid:durableId="1986274054">
    <w:abstractNumId w:val="5"/>
  </w:num>
  <w:num w:numId="5" w16cid:durableId="295910331">
    <w:abstractNumId w:val="8"/>
  </w:num>
  <w:num w:numId="6" w16cid:durableId="1692686926">
    <w:abstractNumId w:val="11"/>
  </w:num>
  <w:num w:numId="7" w16cid:durableId="1801914923">
    <w:abstractNumId w:val="3"/>
  </w:num>
  <w:num w:numId="8" w16cid:durableId="1293753776">
    <w:abstractNumId w:val="0"/>
  </w:num>
  <w:num w:numId="9" w16cid:durableId="1532382451">
    <w:abstractNumId w:val="4"/>
  </w:num>
  <w:num w:numId="10" w16cid:durableId="258029064">
    <w:abstractNumId w:val="7"/>
  </w:num>
  <w:num w:numId="11" w16cid:durableId="1193689257">
    <w:abstractNumId w:val="13"/>
  </w:num>
  <w:num w:numId="12" w16cid:durableId="2038192048">
    <w:abstractNumId w:val="9"/>
  </w:num>
  <w:num w:numId="13" w16cid:durableId="1016272893">
    <w:abstractNumId w:val="2"/>
  </w:num>
  <w:num w:numId="14" w16cid:durableId="948581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57"/>
    <w:rsid w:val="00001430"/>
    <w:rsid w:val="00015163"/>
    <w:rsid w:val="00077EA7"/>
    <w:rsid w:val="000B609B"/>
    <w:rsid w:val="00103189"/>
    <w:rsid w:val="001E4388"/>
    <w:rsid w:val="00244984"/>
    <w:rsid w:val="00255460"/>
    <w:rsid w:val="00274257"/>
    <w:rsid w:val="002774E3"/>
    <w:rsid w:val="00291366"/>
    <w:rsid w:val="002A2489"/>
    <w:rsid w:val="002B45A2"/>
    <w:rsid w:val="002C79BA"/>
    <w:rsid w:val="002E6D4C"/>
    <w:rsid w:val="0030309E"/>
    <w:rsid w:val="00330CF7"/>
    <w:rsid w:val="003322C9"/>
    <w:rsid w:val="00355BEF"/>
    <w:rsid w:val="003878F4"/>
    <w:rsid w:val="003A25C4"/>
    <w:rsid w:val="003A2A66"/>
    <w:rsid w:val="003D7C5E"/>
    <w:rsid w:val="003E017D"/>
    <w:rsid w:val="003E2761"/>
    <w:rsid w:val="003F15C6"/>
    <w:rsid w:val="00414BBA"/>
    <w:rsid w:val="00452C74"/>
    <w:rsid w:val="004F1B1B"/>
    <w:rsid w:val="004F6759"/>
    <w:rsid w:val="005066FA"/>
    <w:rsid w:val="00514C3C"/>
    <w:rsid w:val="00523B4F"/>
    <w:rsid w:val="00533A87"/>
    <w:rsid w:val="00587DB9"/>
    <w:rsid w:val="00600AE6"/>
    <w:rsid w:val="00686230"/>
    <w:rsid w:val="00692919"/>
    <w:rsid w:val="006A3DAF"/>
    <w:rsid w:val="006B67C2"/>
    <w:rsid w:val="006B7ED5"/>
    <w:rsid w:val="006D3937"/>
    <w:rsid w:val="006F2108"/>
    <w:rsid w:val="00741201"/>
    <w:rsid w:val="00747318"/>
    <w:rsid w:val="00755210"/>
    <w:rsid w:val="00781DBC"/>
    <w:rsid w:val="007B4EE3"/>
    <w:rsid w:val="007D205A"/>
    <w:rsid w:val="007D4DFD"/>
    <w:rsid w:val="007F56DF"/>
    <w:rsid w:val="00803F91"/>
    <w:rsid w:val="0083046E"/>
    <w:rsid w:val="00892FA8"/>
    <w:rsid w:val="008B353F"/>
    <w:rsid w:val="008D435B"/>
    <w:rsid w:val="009377A9"/>
    <w:rsid w:val="00956EA7"/>
    <w:rsid w:val="009973C3"/>
    <w:rsid w:val="009A6A5A"/>
    <w:rsid w:val="009B1B34"/>
    <w:rsid w:val="009E0F07"/>
    <w:rsid w:val="009F3B64"/>
    <w:rsid w:val="00A678CC"/>
    <w:rsid w:val="00AA1A1C"/>
    <w:rsid w:val="00AB0B3C"/>
    <w:rsid w:val="00B00B04"/>
    <w:rsid w:val="00B379A3"/>
    <w:rsid w:val="00BA02B4"/>
    <w:rsid w:val="00BD3C72"/>
    <w:rsid w:val="00BF3D20"/>
    <w:rsid w:val="00BF4D10"/>
    <w:rsid w:val="00C356E2"/>
    <w:rsid w:val="00C72610"/>
    <w:rsid w:val="00C76822"/>
    <w:rsid w:val="00C91A9F"/>
    <w:rsid w:val="00CA64D7"/>
    <w:rsid w:val="00CC65A1"/>
    <w:rsid w:val="00CD3D0D"/>
    <w:rsid w:val="00CF711E"/>
    <w:rsid w:val="00D11E8A"/>
    <w:rsid w:val="00D44B1D"/>
    <w:rsid w:val="00D52F19"/>
    <w:rsid w:val="00D81135"/>
    <w:rsid w:val="00D87039"/>
    <w:rsid w:val="00D90691"/>
    <w:rsid w:val="00DA6A7C"/>
    <w:rsid w:val="00DB2694"/>
    <w:rsid w:val="00DF2D54"/>
    <w:rsid w:val="00E14B29"/>
    <w:rsid w:val="00E16134"/>
    <w:rsid w:val="00E32FB8"/>
    <w:rsid w:val="00E7550F"/>
    <w:rsid w:val="00EB3467"/>
    <w:rsid w:val="00F134D1"/>
    <w:rsid w:val="00F81DB3"/>
    <w:rsid w:val="00FA3BD6"/>
    <w:rsid w:val="00FF48A4"/>
    <w:rsid w:val="00FF7FBE"/>
    <w:rsid w:val="0FCB149A"/>
    <w:rsid w:val="1A184686"/>
    <w:rsid w:val="4730C51C"/>
    <w:rsid w:val="4E688D2C"/>
    <w:rsid w:val="68196170"/>
    <w:rsid w:val="7F1CB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12F7D"/>
  <w15:chartTrackingRefBased/>
  <w15:docId w15:val="{C1357975-EB2A-F047-BE2B-842040F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B67C2"/>
    <w:rPr>
      <w:rFonts w:ascii="DM Sans" w:eastAsiaTheme="minorEastAsia" w:hAnsi="DM Sans"/>
      <w:sz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CA64D7"/>
    <w:pPr>
      <w:keepNext/>
      <w:keepLines/>
      <w:spacing w:before="240"/>
      <w:outlineLvl w:val="0"/>
    </w:pPr>
    <w:rPr>
      <w:rFonts w:ascii="DM Sans Medium" w:eastAsiaTheme="majorEastAsia" w:hAnsi="DM Sans Medium" w:cstheme="majorBidi"/>
      <w:color w:val="000000" w:themeColor="text1"/>
      <w:sz w:val="32"/>
      <w:szCs w:val="32"/>
    </w:rPr>
  </w:style>
  <w:style w:type="paragraph" w:styleId="Heading2">
    <w:name w:val="heading 2"/>
    <w:aliases w:val="Sub Header"/>
    <w:basedOn w:val="Normal"/>
    <w:next w:val="Normal"/>
    <w:link w:val="Heading2Char"/>
    <w:uiPriority w:val="9"/>
    <w:unhideWhenUsed/>
    <w:qFormat/>
    <w:rsid w:val="00CA64D7"/>
    <w:pPr>
      <w:keepNext/>
      <w:keepLines/>
      <w:spacing w:before="40"/>
      <w:outlineLvl w:val="1"/>
    </w:pPr>
    <w:rPr>
      <w:rFonts w:ascii="DM Sans Medium" w:eastAsiaTheme="majorEastAsia" w:hAnsi="DM Sans Medium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06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257"/>
  </w:style>
  <w:style w:type="paragraph" w:styleId="Footer">
    <w:name w:val="footer"/>
    <w:basedOn w:val="Normal"/>
    <w:link w:val="FooterChar"/>
    <w:uiPriority w:val="99"/>
    <w:unhideWhenUsed/>
    <w:rsid w:val="00274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257"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CA64D7"/>
    <w:rPr>
      <w:rFonts w:ascii="DM Sans Medium" w:eastAsiaTheme="majorEastAsia" w:hAnsi="DM Sans Medium" w:cstheme="majorBidi"/>
      <w:color w:val="000000" w:themeColor="text1"/>
      <w:sz w:val="32"/>
      <w:szCs w:val="32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A64D7"/>
    <w:pPr>
      <w:contextualSpacing/>
    </w:pPr>
    <w:rPr>
      <w:rFonts w:ascii="DM Sans Medium" w:eastAsiaTheme="majorEastAsia" w:hAnsi="DM Sans Medium" w:cstheme="majorBidi"/>
      <w:spacing w:val="-10"/>
      <w:kern w:val="28"/>
      <w:sz w:val="3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A64D7"/>
    <w:rPr>
      <w:rFonts w:ascii="DM Sans Medium" w:eastAsiaTheme="majorEastAsia" w:hAnsi="DM Sans Medium" w:cstheme="majorBidi"/>
      <w:spacing w:val="-10"/>
      <w:kern w:val="28"/>
      <w:sz w:val="36"/>
      <w:szCs w:val="56"/>
    </w:rPr>
  </w:style>
  <w:style w:type="paragraph" w:styleId="Subtitle">
    <w:name w:val="Subtitle"/>
    <w:aliases w:val="Sub Heading"/>
    <w:basedOn w:val="Normal"/>
    <w:next w:val="Normal"/>
    <w:link w:val="SubtitleChar"/>
    <w:uiPriority w:val="11"/>
    <w:rsid w:val="006B67C2"/>
    <w:pPr>
      <w:numPr>
        <w:ilvl w:val="1"/>
      </w:numPr>
      <w:spacing w:after="160"/>
    </w:pPr>
    <w:rPr>
      <w:b/>
      <w:color w:val="000000" w:themeColor="text1"/>
      <w:spacing w:val="15"/>
      <w:sz w:val="28"/>
      <w:szCs w:val="22"/>
    </w:rPr>
  </w:style>
  <w:style w:type="character" w:customStyle="1" w:styleId="SubtitleChar">
    <w:name w:val="Subtitle Char"/>
    <w:aliases w:val="Sub Heading Char"/>
    <w:basedOn w:val="DefaultParagraphFont"/>
    <w:link w:val="Subtitle"/>
    <w:uiPriority w:val="11"/>
    <w:rsid w:val="006B67C2"/>
    <w:rPr>
      <w:rFonts w:ascii="DM Sans" w:eastAsiaTheme="minorEastAsia" w:hAnsi="DM Sans"/>
      <w:b/>
      <w:color w:val="000000" w:themeColor="text1"/>
      <w:spacing w:val="15"/>
      <w:sz w:val="28"/>
      <w:szCs w:val="22"/>
    </w:rPr>
  </w:style>
  <w:style w:type="character" w:customStyle="1" w:styleId="Heading2Char">
    <w:name w:val="Heading 2 Char"/>
    <w:aliases w:val="Sub Header Char"/>
    <w:basedOn w:val="DefaultParagraphFont"/>
    <w:link w:val="Heading2"/>
    <w:uiPriority w:val="9"/>
    <w:rsid w:val="00CA64D7"/>
    <w:rPr>
      <w:rFonts w:ascii="DM Sans Medium" w:eastAsiaTheme="majorEastAsia" w:hAnsi="DM Sans Medium" w:cstheme="majorBidi"/>
      <w:color w:val="000000" w:themeColor="text1"/>
      <w:sz w:val="28"/>
      <w:szCs w:val="26"/>
    </w:rPr>
  </w:style>
  <w:style w:type="character" w:styleId="Emphasis">
    <w:name w:val="Emphasis"/>
    <w:basedOn w:val="DefaultParagraphFont"/>
    <w:uiPriority w:val="20"/>
    <w:rsid w:val="006B67C2"/>
    <w:rPr>
      <w:i/>
      <w:iCs/>
    </w:rPr>
  </w:style>
  <w:style w:type="paragraph" w:styleId="ListParagraph">
    <w:name w:val="List Paragraph"/>
    <w:basedOn w:val="Normal"/>
    <w:uiPriority w:val="34"/>
    <w:qFormat/>
    <w:rsid w:val="00D52F19"/>
    <w:pPr>
      <w:numPr>
        <w:numId w:val="1"/>
      </w:numPr>
      <w:spacing w:before="100" w:beforeAutospacing="1" w:after="100" w:afterAutospacing="1" w:line="276" w:lineRule="auto"/>
    </w:pPr>
    <w:rPr>
      <w:rFonts w:eastAsia="Times New Roman" w:cs="Arial"/>
      <w:color w:val="000000" w:themeColor="text1"/>
      <w:sz w:val="20"/>
      <w:szCs w:val="20"/>
      <w:shd w:val="clear" w:color="auto" w:fill="FFFFFF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44984"/>
    <w:rPr>
      <w:rFonts w:eastAsiaTheme="minorHAnsi" w:cs="Times New Roman (Body CS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4984"/>
    <w:rPr>
      <w:rFonts w:ascii="DM Sans" w:hAnsi="DM Sans" w:cs="Times New Roman (Body CS)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49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046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91366"/>
    <w:rPr>
      <w:rFonts w:ascii="DM Sans" w:eastAsiaTheme="minorEastAsia" w:hAnsi="DM Sans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2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FB8"/>
    <w:rPr>
      <w:rFonts w:ascii="DM Sans" w:eastAsiaTheme="minorEastAsia" w:hAnsi="DM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B8"/>
    <w:rPr>
      <w:rFonts w:ascii="DM Sans" w:eastAsiaTheme="minorEastAsia" w:hAnsi="DM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22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6F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D44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isisusatuni.org/wp-content/uploads/2021/02/PositiveImpactAnnex1_202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aso.org.uk/libraryitem/pathways-higher-education-for-young-people-childrens-social-ca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f.co.uk/wp-content/uploads/2024/11/Care-and-Learning-in-Higher-Education-Nov-202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isisusatuni.org/wp-content/uploads/2022/06/Unite-Foundation-JiscAnalysis-Report-_Final.pdf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renssocialcare.independent-review.uk/wp-content/uploads/2021/11/Paying-the-Price.pdf" TargetMode="External"/><Relationship Id="rId3" Type="http://schemas.openxmlformats.org/officeDocument/2006/relationships/hyperlink" Target="https://www.officeforstudents.org.uk/data-and-analysis/student-characteristics-data/outcomes-data-dashboard/" TargetMode="External"/><Relationship Id="rId7" Type="http://schemas.openxmlformats.org/officeDocument/2006/relationships/hyperlink" Target="https://www.ucas.com/data-and-analysis/undergraduate-statistics-and-reports/ucas-reports/next-steps-what-experience-students-care-background-education-report" TargetMode="External"/><Relationship Id="rId2" Type="http://schemas.openxmlformats.org/officeDocument/2006/relationships/hyperlink" Target="https://www.officeforstudents.org.uk/data-and-analysis/student-characteristics-data/outcomes-data-dashboard/" TargetMode="External"/><Relationship Id="rId1" Type="http://schemas.openxmlformats.org/officeDocument/2006/relationships/hyperlink" Target="https://explore-education-statistics.service.gov.uk/find-statistics/widening-participation-in-higher-education/2023-24" TargetMode="External"/><Relationship Id="rId6" Type="http://schemas.openxmlformats.org/officeDocument/2006/relationships/hyperlink" Target="https://www.standalone.org.uk/wp-content/uploads/2013/08/StandAloneUNITEfoundation.pdf" TargetMode="External"/><Relationship Id="rId5" Type="http://schemas.openxmlformats.org/officeDocument/2006/relationships/hyperlink" Target="https://www.hepi.ac.uk/reports/a-minimum-income-standard-for-students-2/" TargetMode="External"/><Relationship Id="rId4" Type="http://schemas.openxmlformats.org/officeDocument/2006/relationships/hyperlink" Target="https://thisisusatuni.org/wp-content/uploads/2021/10/Student-Survey-2021_Web.pdf" TargetMode="External"/><Relationship Id="rId9" Type="http://schemas.openxmlformats.org/officeDocument/2006/relationships/hyperlink" Target="http://shura.shu.ac.uk/25839/1/Positive-Impact-Repo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9b8de-2975-41b6-a10d-819105349b15" xsi:nil="true"/>
    <lcf76f155ced4ddcb4097134ff3c332f xmlns="29f36f08-2a78-495b-9c45-5a0c5fe24d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C80D422D69B4CB98026BE4B9A3A54" ma:contentTypeVersion="12" ma:contentTypeDescription="Create a new document." ma:contentTypeScope="" ma:versionID="8a9a3bf6cf86cf7859537d355d9a8ec7">
  <xsd:schema xmlns:xsd="http://www.w3.org/2001/XMLSchema" xmlns:xs="http://www.w3.org/2001/XMLSchema" xmlns:p="http://schemas.microsoft.com/office/2006/metadata/properties" xmlns:ns2="29f36f08-2a78-495b-9c45-5a0c5fe24ddf" xmlns:ns3="a5c9b8de-2975-41b6-a10d-819105349b15" targetNamespace="http://schemas.microsoft.com/office/2006/metadata/properties" ma:root="true" ma:fieldsID="b3f63b2ae821eea2112e766b8be0cd09" ns2:_="" ns3:_="">
    <xsd:import namespace="29f36f08-2a78-495b-9c45-5a0c5fe24ddf"/>
    <xsd:import namespace="a5c9b8de-2975-41b6-a10d-819105349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6f08-2a78-495b-9c45-5a0c5fe24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0fff59-3479-4faa-9c76-0d6aaad9a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b8de-2975-41b6-a10d-819105349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0f67f5-6bc8-4afc-a2b3-b01acbe3efac}" ma:internalName="TaxCatchAll" ma:showField="CatchAllData" ma:web="a5c9b8de-2975-41b6-a10d-819105349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7990-8720-4500-982B-E2746DC26A04}">
  <ds:schemaRefs>
    <ds:schemaRef ds:uri="http://schemas.microsoft.com/office/2006/metadata/properties"/>
    <ds:schemaRef ds:uri="http://schemas.microsoft.com/office/infopath/2007/PartnerControls"/>
    <ds:schemaRef ds:uri="a5c9b8de-2975-41b6-a10d-819105349b15"/>
    <ds:schemaRef ds:uri="29f36f08-2a78-495b-9c45-5a0c5fe24ddf"/>
  </ds:schemaRefs>
</ds:datastoreItem>
</file>

<file path=customXml/itemProps2.xml><?xml version="1.0" encoding="utf-8"?>
<ds:datastoreItem xmlns:ds="http://schemas.openxmlformats.org/officeDocument/2006/customXml" ds:itemID="{626C13FA-61A4-4EF9-B91D-6693BE954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8757C-786C-4BD3-84EB-12081C40D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6f08-2a78-495b-9c45-5a0c5fe24ddf"/>
    <ds:schemaRef ds:uri="a5c9b8de-2975-41b6-a10d-81910534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DD66D-83BF-4066-A6CB-0E7BBD02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Rymsza</dc:creator>
  <cp:keywords/>
  <dc:description/>
  <cp:lastModifiedBy>Helen Arber</cp:lastModifiedBy>
  <cp:revision>2</cp:revision>
  <dcterms:created xsi:type="dcterms:W3CDTF">2025-11-14T11:20:00Z</dcterms:created>
  <dcterms:modified xsi:type="dcterms:W3CDTF">2025-11-14T11:20:00Z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4146a1-e115-4281-a3c6-52e16550f7b2_Enabled">
    <vt:lpwstr>true</vt:lpwstr>
  </property>
  <property fmtid="{D5CDD505-2E9C-101B-9397-08002B2CF9AE}" pid="3" name="MSIP_Label_554146a1-e115-4281-a3c6-52e16550f7b2_SetDate">
    <vt:lpwstr>2022-03-15T09:33:10Z</vt:lpwstr>
  </property>
  <property fmtid="{D5CDD505-2E9C-101B-9397-08002B2CF9AE}" pid="4" name="MSIP_Label_554146a1-e115-4281-a3c6-52e16550f7b2_Method">
    <vt:lpwstr>Standard</vt:lpwstr>
  </property>
  <property fmtid="{D5CDD505-2E9C-101B-9397-08002B2CF9AE}" pid="5" name="MSIP_Label_554146a1-e115-4281-a3c6-52e16550f7b2_Name">
    <vt:lpwstr>554146a1-e115-4281-a3c6-52e16550f7b2</vt:lpwstr>
  </property>
  <property fmtid="{D5CDD505-2E9C-101B-9397-08002B2CF9AE}" pid="6" name="MSIP_Label_554146a1-e115-4281-a3c6-52e16550f7b2_SiteId">
    <vt:lpwstr>4eefdee3-6662-4480-b2ba-a102df9c5160</vt:lpwstr>
  </property>
  <property fmtid="{D5CDD505-2E9C-101B-9397-08002B2CF9AE}" pid="7" name="MSIP_Label_554146a1-e115-4281-a3c6-52e16550f7b2_ContentBits">
    <vt:lpwstr>0</vt:lpwstr>
  </property>
  <property fmtid="{D5CDD505-2E9C-101B-9397-08002B2CF9AE}" pid="8" name="GrammarlyDocumentId">
    <vt:lpwstr>d13db0ac-8019-4117-bdb2-442704ddfe97</vt:lpwstr>
  </property>
  <property fmtid="{D5CDD505-2E9C-101B-9397-08002B2CF9AE}" pid="9" name="ContentTypeId">
    <vt:lpwstr>0x01010035DC80D422D69B4CB98026BE4B9A3A54</vt:lpwstr>
  </property>
  <property fmtid="{D5CDD505-2E9C-101B-9397-08002B2CF9AE}" pid="10" name="MediaServiceImageTags">
    <vt:lpwstr/>
  </property>
</Properties>
</file>